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0" w:type="dxa"/>
        <w:jc w:val="center"/>
        <w:shd w:val="clear" w:color="auto" w:fill="FFFFFF"/>
        <w:tblCellMar>
          <w:left w:w="0" w:type="dxa"/>
          <w:right w:w="0" w:type="dxa"/>
        </w:tblCellMar>
        <w:tblLook w:val="04A0" w:firstRow="1" w:lastRow="0" w:firstColumn="1" w:lastColumn="0" w:noHBand="0" w:noVBand="1"/>
      </w:tblPr>
      <w:tblGrid>
        <w:gridCol w:w="10496"/>
      </w:tblGrid>
      <w:tr w:rsidR="00DE122F" w:rsidRPr="00DE122F" w14:paraId="1EE8B58B" w14:textId="77777777" w:rsidTr="00DE122F">
        <w:trPr>
          <w:jc w:val="center"/>
          <w:hidden/>
        </w:trPr>
        <w:tc>
          <w:tcPr>
            <w:tcW w:w="0" w:type="auto"/>
            <w:shd w:val="clear" w:color="auto" w:fill="FFFFFF"/>
            <w:vAlign w:val="center"/>
          </w:tcPr>
          <w:tbl>
            <w:tblPr>
              <w:tblW w:w="5000" w:type="pct"/>
              <w:shd w:val="clear" w:color="auto" w:fill="FFFFFF"/>
              <w:tblCellMar>
                <w:left w:w="0" w:type="dxa"/>
                <w:right w:w="0" w:type="dxa"/>
              </w:tblCellMar>
              <w:tblLook w:val="04A0" w:firstRow="1" w:lastRow="0" w:firstColumn="1" w:lastColumn="0" w:noHBand="0" w:noVBand="1"/>
            </w:tblPr>
            <w:tblGrid>
              <w:gridCol w:w="10496"/>
            </w:tblGrid>
            <w:tr w:rsidR="00DE122F" w:rsidRPr="00DE122F" w14:paraId="74FADFCB" w14:textId="77777777">
              <w:trPr>
                <w:hidden/>
              </w:trPr>
              <w:tc>
                <w:tcPr>
                  <w:tcW w:w="0" w:type="auto"/>
                  <w:shd w:val="clear" w:color="auto" w:fill="FFFFFF"/>
                  <w:vAlign w:val="center"/>
                  <w:hideMark/>
                </w:tcPr>
                <w:p w14:paraId="50C3720B" w14:textId="77777777" w:rsidR="00DE122F" w:rsidRPr="00DE122F" w:rsidRDefault="00DE122F" w:rsidP="00DE122F">
                  <w:pPr>
                    <w:rPr>
                      <w:vanish/>
                    </w:rPr>
                  </w:pPr>
                  <w:r w:rsidRPr="00DE122F">
                    <w:rPr>
                      <w:vanish/>
                    </w:rPr>
                    <w:t>Download CCRE’s data-driven Veterans Toolkit and use proven messaging to reach this motivated market</w:t>
                  </w:r>
                </w:p>
              </w:tc>
            </w:tr>
          </w:tbl>
          <w:p w14:paraId="576859BE" w14:textId="77777777" w:rsidR="00DE122F" w:rsidRPr="00DE122F" w:rsidRDefault="00DE122F" w:rsidP="00DE122F">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10496"/>
            </w:tblGrid>
            <w:tr w:rsidR="00DE122F" w:rsidRPr="00DE122F" w14:paraId="2F33019C" w14:textId="77777777">
              <w:trPr>
                <w:jc w:val="center"/>
              </w:trPr>
              <w:tc>
                <w:tcPr>
                  <w:tcW w:w="0" w:type="auto"/>
                  <w:shd w:val="clear" w:color="auto" w:fill="FFFFFF"/>
                  <w:tcMar>
                    <w:top w:w="300" w:type="dxa"/>
                    <w:left w:w="0" w:type="dxa"/>
                    <w:bottom w:w="300" w:type="dxa"/>
                    <w:right w:w="0" w:type="dxa"/>
                  </w:tcMar>
                  <w:vAlign w:val="center"/>
                  <w:hideMark/>
                </w:tcPr>
                <w:p w14:paraId="5947B68C" w14:textId="7739534A" w:rsidR="00DE122F" w:rsidRPr="00DE122F" w:rsidRDefault="00DE122F" w:rsidP="00DE122F">
                  <w:r w:rsidRPr="00DE122F">
                    <w:drawing>
                      <wp:inline distT="0" distB="0" distL="0" distR="0" wp14:anchorId="26D3F9FB" wp14:editId="0248CD55">
                        <wp:extent cx="5962039" cy="1339215"/>
                        <wp:effectExtent l="0" t="0" r="635" b="0"/>
                        <wp:docPr id="1720599246" name="Picture 25"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9246" name="Picture 25" descr="A close-up of a logo&#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63520" cy="1339548"/>
                                </a:xfrm>
                                <a:prstGeom prst="rect">
                                  <a:avLst/>
                                </a:prstGeom>
                                <a:noFill/>
                                <a:ln>
                                  <a:noFill/>
                                </a:ln>
                              </pic:spPr>
                            </pic:pic>
                          </a:graphicData>
                        </a:graphic>
                      </wp:inline>
                    </w:drawing>
                  </w:r>
                </w:p>
              </w:tc>
            </w:tr>
          </w:tbl>
          <w:p w14:paraId="52D194F6" w14:textId="77777777" w:rsidR="00DE122F" w:rsidRPr="00DE122F" w:rsidRDefault="00DE122F" w:rsidP="00DE122F">
            <w:pPr>
              <w:rPr>
                <w:vanish/>
              </w:rPr>
            </w:pPr>
          </w:p>
          <w:tbl>
            <w:tblPr>
              <w:tblW w:w="5000" w:type="pct"/>
              <w:jc w:val="center"/>
              <w:shd w:val="clear" w:color="auto" w:fill="FFFFFF"/>
              <w:tblCellMar>
                <w:left w:w="0" w:type="dxa"/>
                <w:right w:w="0" w:type="dxa"/>
              </w:tblCellMar>
              <w:tblLook w:val="04A0" w:firstRow="1" w:lastRow="0" w:firstColumn="1" w:lastColumn="0" w:noHBand="0" w:noVBand="1"/>
            </w:tblPr>
            <w:tblGrid>
              <w:gridCol w:w="49"/>
              <w:gridCol w:w="10398"/>
              <w:gridCol w:w="49"/>
            </w:tblGrid>
            <w:tr w:rsidR="00DE122F" w:rsidRPr="00DE122F" w14:paraId="151E8A77" w14:textId="77777777">
              <w:trPr>
                <w:jc w:val="center"/>
              </w:trPr>
              <w:tc>
                <w:tcPr>
                  <w:tcW w:w="0" w:type="auto"/>
                  <w:shd w:val="clear" w:color="auto" w:fill="FFFFFF"/>
                  <w:vAlign w:val="center"/>
                  <w:hideMark/>
                </w:tcPr>
                <w:p w14:paraId="4D4C92A9" w14:textId="77777777" w:rsidR="00DE122F" w:rsidRPr="00DE122F" w:rsidRDefault="00DE122F" w:rsidP="00DE122F">
                  <w:r w:rsidRPr="00DE122F">
                    <w:t> </w:t>
                  </w:r>
                </w:p>
              </w:tc>
              <w:tc>
                <w:tcPr>
                  <w:tcW w:w="0" w:type="auto"/>
                  <w:shd w:val="clear" w:color="auto" w:fill="FFFFFF"/>
                  <w:vAlign w:val="center"/>
                  <w:hideMark/>
                </w:tcPr>
                <w:p w14:paraId="0DA32973" w14:textId="77777777" w:rsidR="00DE122F" w:rsidRPr="00DE122F" w:rsidRDefault="00DE122F" w:rsidP="00DE122F">
                  <w:r w:rsidRPr="00DE122F">
                    <w:t xml:space="preserve">Welcome to the Center for California Real Estate's (CCRE) monthly marketing toolkit of slides, social posts and additional resources exploring consumer issues in residential real estate. </w:t>
                  </w:r>
                  <w:r w:rsidRPr="00DE122F">
                    <w:rPr>
                      <w:rFonts w:ascii="Arial" w:hAnsi="Arial" w:cs="Arial"/>
                    </w:rPr>
                    <w:t>​​​​</w:t>
                  </w:r>
                  <w:r w:rsidRPr="00DE122F">
                    <w:t xml:space="preserve">Download </w:t>
                  </w:r>
                  <w:r w:rsidRPr="00DE122F">
                    <w:rPr>
                      <w:rFonts w:ascii="Arial" w:hAnsi="Arial" w:cs="Arial"/>
                    </w:rPr>
                    <w:t>​​​​</w:t>
                  </w:r>
                  <w:r w:rsidRPr="00DE122F">
                    <w:t>these data-driven tools to enhance your marketing plans and spark conversations in your spheres of influence.</w:t>
                  </w:r>
                  <w:r w:rsidRPr="00DE122F">
                    <w:rPr>
                      <w:rFonts w:ascii="Aptos" w:hAnsi="Aptos" w:cs="Aptos"/>
                    </w:rPr>
                    <w:t> </w:t>
                  </w:r>
                </w:p>
                <w:p w14:paraId="4779E244" w14:textId="77777777" w:rsidR="00DE122F" w:rsidRPr="00DE122F" w:rsidRDefault="00DE122F" w:rsidP="00DE122F">
                  <w:r w:rsidRPr="00DE122F">
                    <w:rPr>
                      <w:b/>
                      <w:bCs/>
                    </w:rPr>
                    <w:t>This month, we’re looking at how to serve the military veteran homebuyer</w:t>
                  </w:r>
                  <w:r w:rsidRPr="00DE122F">
                    <w:t>. Veterans often rank the VA home loan as the top benefit they receive as a result of their service, and many seek to partner with REALTORS® as they transition to civilian life and explore homeownership.</w:t>
                  </w:r>
                  <w:r w:rsidRPr="00DE122F">
                    <w:br/>
                  </w:r>
                  <w:r w:rsidRPr="00DE122F">
                    <w:br/>
                    <w:t>Despite being held in high regard by most Americans, 84% of veterans report that the general public has little understanding of their needs. We’ve created this toolkit to help you become a trusted guide to veterans throughout the homebuying process.</w:t>
                  </w:r>
                </w:p>
              </w:tc>
              <w:tc>
                <w:tcPr>
                  <w:tcW w:w="0" w:type="auto"/>
                  <w:shd w:val="clear" w:color="auto" w:fill="FFFFFF"/>
                  <w:vAlign w:val="center"/>
                  <w:hideMark/>
                </w:tcPr>
                <w:p w14:paraId="29EA1B1A" w14:textId="77777777" w:rsidR="00DE122F" w:rsidRPr="00DE122F" w:rsidRDefault="00DE122F" w:rsidP="00DE122F">
                  <w:r w:rsidRPr="00DE122F">
                    <w:t> </w:t>
                  </w:r>
                </w:p>
              </w:tc>
            </w:tr>
          </w:tbl>
          <w:p w14:paraId="4FB2BEC9" w14:textId="77777777" w:rsidR="00DE122F" w:rsidRPr="00DE122F" w:rsidRDefault="00DE122F" w:rsidP="00DE122F">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10496"/>
            </w:tblGrid>
            <w:tr w:rsidR="00DE122F" w:rsidRPr="00DE122F" w14:paraId="2D61F65C" w14:textId="77777777">
              <w:trPr>
                <w:jc w:val="center"/>
              </w:trPr>
              <w:tc>
                <w:tcPr>
                  <w:tcW w:w="0" w:type="auto"/>
                  <w:shd w:val="clear" w:color="auto" w:fill="FFFFFF"/>
                  <w:tcMar>
                    <w:top w:w="300" w:type="dxa"/>
                    <w:left w:w="990" w:type="dxa"/>
                    <w:bottom w:w="300" w:type="dxa"/>
                    <w:right w:w="990" w:type="dxa"/>
                  </w:tcMar>
                  <w:vAlign w:val="center"/>
                  <w:hideMark/>
                </w:tcPr>
                <w:tbl>
                  <w:tblPr>
                    <w:tblW w:w="0" w:type="auto"/>
                    <w:jc w:val="center"/>
                    <w:shd w:val="clear" w:color="auto" w:fill="FFFFFF"/>
                    <w:tblLook w:val="04A0" w:firstRow="1" w:lastRow="0" w:firstColumn="1" w:lastColumn="0" w:noHBand="0" w:noVBand="1"/>
                  </w:tblPr>
                  <w:tblGrid>
                    <w:gridCol w:w="8500"/>
                  </w:tblGrid>
                  <w:tr w:rsidR="00DE122F" w:rsidRPr="00DE122F" w14:paraId="28E610B0" w14:textId="77777777">
                    <w:trPr>
                      <w:jc w:val="center"/>
                    </w:trPr>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hideMark/>
                      </w:tcPr>
                      <w:p w14:paraId="174E10C5" w14:textId="4404368B" w:rsidR="00DE122F" w:rsidRPr="00DE122F" w:rsidRDefault="00DE122F" w:rsidP="00DE122F">
                        <w:r w:rsidRPr="00DE122F">
                          <w:drawing>
                            <wp:inline distT="0" distB="0" distL="0" distR="0" wp14:anchorId="2D29D22D" wp14:editId="77C9582E">
                              <wp:extent cx="5378450" cy="2552700"/>
                              <wp:effectExtent l="0" t="0" r="0" b="0"/>
                              <wp:docPr id="1954380150" name="Picture 24" descr="A poster with text and images of houses and numbers&#10;&#10;AI-generated content may be incorrect.">
                                <a:hlinkClick xmlns:a="http://schemas.openxmlformats.org/drawingml/2006/main" r:id="rId5" tgtFrame="_blank" tooltip="Protected by Check Point: https://www.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380150" name="Picture 24" descr="A poster with text and images of houses and numbers&#10;&#10;AI-generated content may be incorrect.">
                                        <a:hlinkClick r:id="rId5" tgtFrame="_blank" tooltip="Protected by Check Point: https://www.car.org/..."/>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78450" cy="2552700"/>
                                      </a:xfrm>
                                      <a:prstGeom prst="rect">
                                        <a:avLst/>
                                      </a:prstGeom>
                                      <a:noFill/>
                                      <a:ln>
                                        <a:noFill/>
                                      </a:ln>
                                    </pic:spPr>
                                  </pic:pic>
                                </a:graphicData>
                              </a:graphic>
                            </wp:inline>
                          </w:drawing>
                        </w:r>
                      </w:p>
                    </w:tc>
                  </w:tr>
                </w:tbl>
                <w:p w14:paraId="1D1AEF7B" w14:textId="77777777" w:rsidR="00DE122F" w:rsidRPr="00DE122F" w:rsidRDefault="00DE122F" w:rsidP="00DE122F"/>
              </w:tc>
            </w:tr>
          </w:tbl>
          <w:p w14:paraId="2234F580" w14:textId="77777777" w:rsidR="00DE122F" w:rsidRPr="00DE122F" w:rsidRDefault="00DE122F" w:rsidP="00DE122F">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637"/>
              <w:gridCol w:w="8475"/>
              <w:gridCol w:w="638"/>
            </w:tblGrid>
            <w:tr w:rsidR="00DE122F" w:rsidRPr="00DE122F" w14:paraId="6D312B97" w14:textId="77777777">
              <w:trPr>
                <w:jc w:val="center"/>
              </w:trPr>
              <w:tc>
                <w:tcPr>
                  <w:tcW w:w="0" w:type="auto"/>
                  <w:shd w:val="clear" w:color="auto" w:fill="FFFFFF"/>
                  <w:vAlign w:val="center"/>
                  <w:hideMark/>
                </w:tcPr>
                <w:p w14:paraId="64BAED50" w14:textId="77777777" w:rsidR="00DE122F" w:rsidRPr="00DE122F" w:rsidRDefault="00DE122F" w:rsidP="00DE122F">
                  <w:r w:rsidRPr="00DE122F">
                    <w:t> </w:t>
                  </w:r>
                </w:p>
              </w:tc>
              <w:tc>
                <w:tcPr>
                  <w:tcW w:w="8475" w:type="dxa"/>
                  <w:shd w:val="clear" w:color="auto" w:fill="FFFFFF"/>
                  <w:hideMark/>
                </w:tcPr>
                <w:p w14:paraId="722F10A4" w14:textId="77777777" w:rsidR="00DE122F" w:rsidRPr="00DE122F" w:rsidRDefault="00DE122F" w:rsidP="00DE122F">
                  <w:r w:rsidRPr="00DE122F">
                    <w:rPr>
                      <w:b/>
                      <w:bCs/>
                    </w:rPr>
                    <w:t>SLIDE DECK</w:t>
                  </w:r>
                  <w:r w:rsidRPr="00DE122F">
                    <w:t>: Homeownership rates for veterans continue to climb, and veterans tend to become homeowners at a younger age than nonveterans.</w:t>
                  </w:r>
                </w:p>
                <w:p w14:paraId="129E6A14" w14:textId="7AD0A8E2" w:rsidR="00DE122F" w:rsidRPr="00DE122F" w:rsidRDefault="00DE122F" w:rsidP="00DE122F">
                  <w:r w:rsidRPr="00DE122F">
                    <w:lastRenderedPageBreak/>
                    <w:t>Download and insert these slides into a listing presentation for military clients. View the deck as a slide show in your next office meeting to brainstorm marketing to clients worried about the economy.</w:t>
                  </w:r>
                  <w:r w:rsidRPr="00DE122F">
                    <w:br/>
                  </w:r>
                  <w:hyperlink r:id="rId7" w:history="1">
                    <w:r w:rsidRPr="00DE122F">
                      <w:rPr>
                        <w:rStyle w:val="Hyperlink"/>
                      </w:rPr>
                      <w:drawing>
                        <wp:anchor distT="0" distB="0" distL="0" distR="0" simplePos="0" relativeHeight="251659264" behindDoc="0" locked="0" layoutInCell="1" allowOverlap="0" wp14:anchorId="2D4ABA25" wp14:editId="00D808A7">
                          <wp:simplePos x="0" y="0"/>
                          <wp:positionH relativeFrom="column">
                            <wp:align>right</wp:align>
                          </wp:positionH>
                          <wp:positionV relativeFrom="line">
                            <wp:posOffset>0</wp:posOffset>
                          </wp:positionV>
                          <wp:extent cx="990826" cy="342978"/>
                          <wp:effectExtent l="0" t="0" r="0" b="0"/>
                          <wp:wrapSquare wrapText="bothSides"/>
                          <wp:docPr id="1570896868" name="Picture 26" descr="Download">
                            <a:hlinkClick xmlns:a="http://schemas.openxmlformats.org/drawingml/2006/main" r:id="rId7" tgtFrame="&quot;&quot;_blank&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
                                    <a:hlinkClick r:id="rId7" tgtFrame="&quot;&quot;_blank&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826" cy="342978"/>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tc>
              <w:tc>
                <w:tcPr>
                  <w:tcW w:w="0" w:type="auto"/>
                  <w:shd w:val="clear" w:color="auto" w:fill="FFFFFF"/>
                  <w:vAlign w:val="center"/>
                  <w:hideMark/>
                </w:tcPr>
                <w:p w14:paraId="6258368A" w14:textId="77777777" w:rsidR="00DE122F" w:rsidRPr="00DE122F" w:rsidRDefault="00DE122F" w:rsidP="00DE122F">
                  <w:r w:rsidRPr="00DE122F">
                    <w:lastRenderedPageBreak/>
                    <w:t> </w:t>
                  </w:r>
                </w:p>
              </w:tc>
            </w:tr>
          </w:tbl>
          <w:p w14:paraId="1262296F" w14:textId="77777777" w:rsidR="00DE122F" w:rsidRPr="00DE122F" w:rsidRDefault="00DE122F" w:rsidP="00DE122F">
            <w:r w:rsidRPr="00DE122F">
              <w:t xml:space="preserve">    </w:t>
            </w:r>
          </w:p>
          <w:tbl>
            <w:tblPr>
              <w:tblW w:w="9750" w:type="dxa"/>
              <w:jc w:val="center"/>
              <w:shd w:val="clear" w:color="auto" w:fill="FFFFFF"/>
              <w:tblCellMar>
                <w:left w:w="0" w:type="dxa"/>
                <w:right w:w="0" w:type="dxa"/>
              </w:tblCellMar>
              <w:tblLook w:val="04A0" w:firstRow="1" w:lastRow="0" w:firstColumn="1" w:lastColumn="0" w:noHBand="0" w:noVBand="1"/>
            </w:tblPr>
            <w:tblGrid>
              <w:gridCol w:w="526"/>
              <w:gridCol w:w="4044"/>
              <w:gridCol w:w="590"/>
              <w:gridCol w:w="4065"/>
              <w:gridCol w:w="525"/>
            </w:tblGrid>
            <w:tr w:rsidR="00DE122F" w:rsidRPr="00DE122F" w14:paraId="1D33CDB7" w14:textId="77777777">
              <w:trPr>
                <w:jc w:val="center"/>
              </w:trPr>
              <w:tc>
                <w:tcPr>
                  <w:tcW w:w="0" w:type="auto"/>
                  <w:shd w:val="clear" w:color="auto" w:fill="FFFFFF"/>
                  <w:vAlign w:val="center"/>
                  <w:hideMark/>
                </w:tcPr>
                <w:p w14:paraId="5ADC3840" w14:textId="77777777" w:rsidR="00DE122F" w:rsidRPr="00DE122F" w:rsidRDefault="00DE122F" w:rsidP="00DE122F">
                  <w:r w:rsidRPr="00DE122F">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66E08B" w14:textId="74027214" w:rsidR="00DE122F" w:rsidRPr="00DE122F" w:rsidRDefault="00DE122F" w:rsidP="00DE122F">
                  <w:r w:rsidRPr="00DE122F">
                    <w:drawing>
                      <wp:inline distT="0" distB="0" distL="0" distR="0" wp14:anchorId="3870C078" wp14:editId="66B00E91">
                        <wp:extent cx="2558930" cy="2139950"/>
                        <wp:effectExtent l="0" t="0" r="0" b="0"/>
                        <wp:docPr id="1983363938" name="Picture 23" descr="A blue background with white text&#10;&#10;AI-generated content may be incorrect.">
                          <a:hlinkClick xmlns:a="http://schemas.openxmlformats.org/drawingml/2006/main" r:id="rId9" tgtFrame="_blank" tooltip="Protected by Check Point: https://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63938" name="Picture 23" descr="A blue background with white text&#10;&#10;AI-generated content may be incorrect.">
                                  <a:hlinkClick r:id="rId9" tgtFrame="_blank" tooltip="Protected by Check Point: https://car.org/..."/>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71851" cy="2150755"/>
                                </a:xfrm>
                                <a:prstGeom prst="rect">
                                  <a:avLst/>
                                </a:prstGeom>
                                <a:noFill/>
                                <a:ln>
                                  <a:noFill/>
                                </a:ln>
                              </pic:spPr>
                            </pic:pic>
                          </a:graphicData>
                        </a:graphic>
                      </wp:inline>
                    </w:drawing>
                  </w:r>
                </w:p>
              </w:tc>
              <w:tc>
                <w:tcPr>
                  <w:tcW w:w="0" w:type="auto"/>
                  <w:shd w:val="clear" w:color="auto" w:fill="FFFFFF"/>
                  <w:vAlign w:val="center"/>
                  <w:hideMark/>
                </w:tcPr>
                <w:p w14:paraId="7EC1008B" w14:textId="77777777" w:rsidR="00DE122F" w:rsidRPr="00DE122F" w:rsidRDefault="00DE122F" w:rsidP="00DE122F">
                  <w:r w:rsidRPr="00DE122F">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4D3EE2B6" w14:textId="4A9A85BD" w:rsidR="00DE122F" w:rsidRPr="00DE122F" w:rsidRDefault="00DE122F" w:rsidP="00DE122F">
                  <w:r w:rsidRPr="00DE122F">
                    <w:rPr>
                      <w:b/>
                      <w:bCs/>
                    </w:rPr>
                    <w:t>SOCIAL MEDIA POSTS: </w:t>
                  </w:r>
                  <w:r w:rsidRPr="00DE122F">
                    <w:t>Download and share these social posts to serve the military veterans in your community. </w:t>
                  </w:r>
                  <w:r w:rsidRPr="00DE122F">
                    <w:br/>
                  </w:r>
                  <w:r w:rsidRPr="00DE122F">
                    <w:br/>
                  </w:r>
                  <w:r w:rsidRPr="00DE122F">
                    <w:drawing>
                      <wp:inline distT="0" distB="0" distL="0" distR="0" wp14:anchorId="5894974E" wp14:editId="3BBC872C">
                        <wp:extent cx="990600" cy="342900"/>
                        <wp:effectExtent l="0" t="0" r="0" b="0"/>
                        <wp:docPr id="630855405" name="Picture 22" descr="Download">
                          <a:hlinkClick xmlns:a="http://schemas.openxmlformats.org/drawingml/2006/main" r:id="rId11" tgtFrame="_blank" tooltip="Protected by Check Point: https://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p>
              </w:tc>
              <w:tc>
                <w:tcPr>
                  <w:tcW w:w="0" w:type="auto"/>
                  <w:shd w:val="clear" w:color="auto" w:fill="FFFFFF"/>
                  <w:vAlign w:val="center"/>
                  <w:hideMark/>
                </w:tcPr>
                <w:p w14:paraId="008C30AB" w14:textId="77777777" w:rsidR="00DE122F" w:rsidRPr="00DE122F" w:rsidRDefault="00DE122F" w:rsidP="00DE122F">
                  <w:r w:rsidRPr="00DE122F">
                    <w:t> </w:t>
                  </w:r>
                </w:p>
              </w:tc>
            </w:tr>
            <w:tr w:rsidR="00DE122F" w:rsidRPr="00DE122F" w14:paraId="0E29F7BF" w14:textId="77777777">
              <w:trPr>
                <w:jc w:val="center"/>
              </w:trPr>
              <w:tc>
                <w:tcPr>
                  <w:tcW w:w="0" w:type="auto"/>
                  <w:gridSpan w:val="5"/>
                  <w:shd w:val="clear" w:color="auto" w:fill="FFFFFF"/>
                  <w:vAlign w:val="center"/>
                  <w:hideMark/>
                </w:tcPr>
                <w:p w14:paraId="6767A4CB" w14:textId="77777777" w:rsidR="00DE122F" w:rsidRPr="00DE122F" w:rsidRDefault="00DE122F" w:rsidP="00DE122F">
                  <w:r w:rsidRPr="00DE122F">
                    <w:t> </w:t>
                  </w:r>
                </w:p>
              </w:tc>
            </w:tr>
            <w:tr w:rsidR="00DE122F" w:rsidRPr="00DE122F" w14:paraId="06924108" w14:textId="77777777">
              <w:trPr>
                <w:jc w:val="center"/>
              </w:trPr>
              <w:tc>
                <w:tcPr>
                  <w:tcW w:w="0" w:type="auto"/>
                  <w:shd w:val="clear" w:color="auto" w:fill="FFFFFF"/>
                  <w:vAlign w:val="center"/>
                  <w:hideMark/>
                </w:tcPr>
                <w:p w14:paraId="7B121D12" w14:textId="77777777" w:rsidR="00DE122F" w:rsidRPr="00DE122F" w:rsidRDefault="00DE122F" w:rsidP="00DE122F">
                  <w:r w:rsidRPr="00DE122F">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150" w:type="dxa"/>
                  </w:tcMar>
                  <w:vAlign w:val="center"/>
                  <w:hideMark/>
                </w:tcPr>
                <w:p w14:paraId="00F22EB5" w14:textId="7A5A7115" w:rsidR="00DE122F" w:rsidRPr="00DE122F" w:rsidRDefault="00DE122F" w:rsidP="00DE122F">
                  <w:r w:rsidRPr="00DE122F">
                    <w:br/>
                  </w:r>
                  <w:r w:rsidRPr="00DE122F">
                    <w:rPr>
                      <w:b/>
                      <w:bCs/>
                    </w:rPr>
                    <w:t xml:space="preserve">INFOGRAPHIC: </w:t>
                  </w:r>
                  <w:r w:rsidRPr="00DE122F">
                    <w:br/>
                    <w:t xml:space="preserve">Share </w:t>
                  </w:r>
                  <w:r w:rsidRPr="00DE122F">
                    <w:rPr>
                      <w:b/>
                      <w:bCs/>
                    </w:rPr>
                    <w:t>7 Facts about Military Veterans REALTORS® Need to Know,</w:t>
                  </w:r>
                  <w:r w:rsidRPr="00DE122F">
                    <w:t xml:space="preserve"> featuring space for your contact info.</w:t>
                  </w:r>
                  <w:r w:rsidRPr="00DE122F">
                    <w:br/>
                  </w:r>
                  <w:r w:rsidRPr="00DE122F">
                    <w:br/>
                  </w:r>
                  <w:r w:rsidRPr="00DE122F">
                    <w:drawing>
                      <wp:inline distT="0" distB="0" distL="0" distR="0" wp14:anchorId="577D71C3" wp14:editId="6D01D522">
                        <wp:extent cx="990600" cy="342900"/>
                        <wp:effectExtent l="0" t="0" r="0" b="0"/>
                        <wp:docPr id="1137514203" name="Picture 21" descr="Download">
                          <a:hlinkClick xmlns:a="http://schemas.openxmlformats.org/drawingml/2006/main" r:id="rId12" tgtFrame="_blank" tooltip="Protected by Check Point: https://www.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342900"/>
                                </a:xfrm>
                                <a:prstGeom prst="rect">
                                  <a:avLst/>
                                </a:prstGeom>
                                <a:noFill/>
                                <a:ln>
                                  <a:noFill/>
                                </a:ln>
                              </pic:spPr>
                            </pic:pic>
                          </a:graphicData>
                        </a:graphic>
                      </wp:inline>
                    </w:drawing>
                  </w:r>
                </w:p>
              </w:tc>
              <w:tc>
                <w:tcPr>
                  <w:tcW w:w="0" w:type="auto"/>
                  <w:shd w:val="clear" w:color="auto" w:fill="FFFFFF"/>
                  <w:vAlign w:val="center"/>
                  <w:hideMark/>
                </w:tcPr>
                <w:p w14:paraId="65F69045" w14:textId="77777777" w:rsidR="00DE122F" w:rsidRPr="00DE122F" w:rsidRDefault="00DE122F" w:rsidP="00DE122F">
                  <w:r w:rsidRPr="00DE122F">
                    <w:t> </w:t>
                  </w:r>
                </w:p>
              </w:tc>
              <w:tc>
                <w:tcPr>
                  <w:tcW w:w="375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9A1F3" w14:textId="790AB1EB" w:rsidR="00DE122F" w:rsidRPr="00DE122F" w:rsidRDefault="00DE122F" w:rsidP="00DE122F">
                  <w:r w:rsidRPr="00DE122F">
                    <w:drawing>
                      <wp:inline distT="0" distB="0" distL="0" distR="0" wp14:anchorId="02822B4C" wp14:editId="7396B5CC">
                        <wp:extent cx="2571750" cy="2063750"/>
                        <wp:effectExtent l="0" t="0" r="0" b="0"/>
                        <wp:docPr id="1783035957" name="Picture 20" descr="A poster of military veterans&#10;&#10;AI-generated content may be incorrect.">
                          <a:hlinkClick xmlns:a="http://schemas.openxmlformats.org/drawingml/2006/main" r:id="rId13" tgtFrame="_blank" tooltip="Protected by Check Point: https://www.car.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035957" name="Picture 20" descr="A poster of military veterans&#10;&#10;AI-generated content may be incorrect.">
                                  <a:hlinkClick r:id="rId13" tgtFrame="_blank" tooltip="Protected by Check Point: https://www.car.org/..."/>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0" cy="2063750"/>
                                </a:xfrm>
                                <a:prstGeom prst="rect">
                                  <a:avLst/>
                                </a:prstGeom>
                                <a:noFill/>
                                <a:ln>
                                  <a:noFill/>
                                </a:ln>
                              </pic:spPr>
                            </pic:pic>
                          </a:graphicData>
                        </a:graphic>
                      </wp:inline>
                    </w:drawing>
                  </w:r>
                </w:p>
              </w:tc>
              <w:tc>
                <w:tcPr>
                  <w:tcW w:w="0" w:type="auto"/>
                  <w:shd w:val="clear" w:color="auto" w:fill="FFFFFF"/>
                  <w:vAlign w:val="center"/>
                  <w:hideMark/>
                </w:tcPr>
                <w:p w14:paraId="6F96C862" w14:textId="77777777" w:rsidR="00DE122F" w:rsidRPr="00DE122F" w:rsidRDefault="00DE122F" w:rsidP="00DE122F">
                  <w:r w:rsidRPr="00DE122F">
                    <w:t> </w:t>
                  </w:r>
                </w:p>
              </w:tc>
            </w:tr>
            <w:tr w:rsidR="00DE122F" w:rsidRPr="00DE122F" w14:paraId="1EA5B4BA" w14:textId="77777777">
              <w:trPr>
                <w:jc w:val="center"/>
              </w:trPr>
              <w:tc>
                <w:tcPr>
                  <w:tcW w:w="0" w:type="auto"/>
                  <w:gridSpan w:val="5"/>
                  <w:shd w:val="clear" w:color="auto" w:fill="FFFFFF"/>
                  <w:vAlign w:val="center"/>
                  <w:hideMark/>
                </w:tcPr>
                <w:p w14:paraId="33D572E6" w14:textId="77777777" w:rsidR="00DE122F" w:rsidRPr="00DE122F" w:rsidRDefault="00DE122F" w:rsidP="00DE122F">
                  <w:r w:rsidRPr="00DE122F">
                    <w:t> </w:t>
                  </w:r>
                </w:p>
              </w:tc>
            </w:tr>
          </w:tbl>
          <w:p w14:paraId="56130EDF" w14:textId="77777777" w:rsidR="00DE122F" w:rsidRPr="00DE122F" w:rsidRDefault="00DE122F" w:rsidP="00DE122F">
            <w:pPr>
              <w:rPr>
                <w:vanish/>
              </w:rPr>
            </w:pPr>
          </w:p>
          <w:tbl>
            <w:tblPr>
              <w:tblW w:w="9750" w:type="dxa"/>
              <w:jc w:val="center"/>
              <w:shd w:val="clear" w:color="auto" w:fill="FFFFFF"/>
              <w:tblCellMar>
                <w:left w:w="0" w:type="dxa"/>
                <w:right w:w="0" w:type="dxa"/>
              </w:tblCellMar>
              <w:tblLook w:val="04A0" w:firstRow="1" w:lastRow="0" w:firstColumn="1" w:lastColumn="0" w:noHBand="0" w:noVBand="1"/>
            </w:tblPr>
            <w:tblGrid>
              <w:gridCol w:w="49"/>
              <w:gridCol w:w="510"/>
              <w:gridCol w:w="49"/>
              <w:gridCol w:w="9093"/>
              <w:gridCol w:w="49"/>
            </w:tblGrid>
            <w:tr w:rsidR="00DE122F" w:rsidRPr="00DE122F" w14:paraId="4A815AFC" w14:textId="77777777">
              <w:trPr>
                <w:jc w:val="center"/>
              </w:trPr>
              <w:tc>
                <w:tcPr>
                  <w:tcW w:w="0" w:type="auto"/>
                  <w:shd w:val="clear" w:color="auto" w:fill="FFFFFF"/>
                  <w:vAlign w:val="center"/>
                  <w:hideMark/>
                </w:tcPr>
                <w:p w14:paraId="342E6FE8" w14:textId="77777777" w:rsidR="00DE122F" w:rsidRPr="00DE122F" w:rsidRDefault="00DE122F" w:rsidP="00DE122F">
                  <w:r w:rsidRPr="00DE122F">
                    <w:t> </w:t>
                  </w:r>
                </w:p>
              </w:tc>
              <w:tc>
                <w:tcPr>
                  <w:tcW w:w="0" w:type="auto"/>
                  <w:gridSpan w:val="3"/>
                  <w:shd w:val="clear" w:color="auto" w:fill="FFFFFF"/>
                  <w:vAlign w:val="center"/>
                  <w:hideMark/>
                </w:tcPr>
                <w:p w14:paraId="0627090B" w14:textId="77777777" w:rsidR="00DE122F" w:rsidRDefault="00DE122F" w:rsidP="00DE122F">
                  <w:pPr>
                    <w:rPr>
                      <w:b/>
                      <w:bCs/>
                    </w:rPr>
                  </w:pPr>
                  <w:r w:rsidRPr="00DE122F">
                    <w:br/>
                  </w:r>
                </w:p>
                <w:p w14:paraId="6C666A2E" w14:textId="77777777" w:rsidR="00DE122F" w:rsidRDefault="00DE122F" w:rsidP="00DE122F">
                  <w:pPr>
                    <w:rPr>
                      <w:b/>
                      <w:bCs/>
                    </w:rPr>
                  </w:pPr>
                </w:p>
                <w:p w14:paraId="326BC216" w14:textId="77777777" w:rsidR="00DE122F" w:rsidRDefault="00DE122F" w:rsidP="00DE122F">
                  <w:pPr>
                    <w:rPr>
                      <w:b/>
                      <w:bCs/>
                    </w:rPr>
                  </w:pPr>
                </w:p>
                <w:p w14:paraId="7487EA86" w14:textId="30045CE0" w:rsidR="00DE122F" w:rsidRPr="00DE122F" w:rsidRDefault="00DE122F" w:rsidP="00DE122F">
                  <w:r w:rsidRPr="00DE122F">
                    <w:rPr>
                      <w:b/>
                      <w:bCs/>
                    </w:rPr>
                    <w:lastRenderedPageBreak/>
                    <w:t>TOP 5 TAKEAWAYS:</w:t>
                  </w:r>
                  <w:r w:rsidRPr="00DE122F">
                    <w:t xml:space="preserve"> Consider these key points to help attract and guide military veteran clients.</w:t>
                  </w:r>
                  <w:r w:rsidRPr="00DE122F">
                    <w:br/>
                    <w:t> </w:t>
                  </w:r>
                </w:p>
              </w:tc>
              <w:tc>
                <w:tcPr>
                  <w:tcW w:w="0" w:type="auto"/>
                  <w:shd w:val="clear" w:color="auto" w:fill="FFFFFF"/>
                  <w:vAlign w:val="center"/>
                  <w:hideMark/>
                </w:tcPr>
                <w:p w14:paraId="1D3D0F51" w14:textId="77777777" w:rsidR="00DE122F" w:rsidRPr="00DE122F" w:rsidRDefault="00DE122F" w:rsidP="00DE122F">
                  <w:r w:rsidRPr="00DE122F">
                    <w:lastRenderedPageBreak/>
                    <w:t> </w:t>
                  </w:r>
                </w:p>
              </w:tc>
            </w:tr>
            <w:tr w:rsidR="00DE122F" w:rsidRPr="00DE122F" w14:paraId="15FFF2E5" w14:textId="77777777">
              <w:trPr>
                <w:jc w:val="center"/>
              </w:trPr>
              <w:tc>
                <w:tcPr>
                  <w:tcW w:w="0" w:type="auto"/>
                  <w:shd w:val="clear" w:color="auto" w:fill="FFFFFF"/>
                  <w:vAlign w:val="center"/>
                  <w:hideMark/>
                </w:tcPr>
                <w:p w14:paraId="5F8C571A" w14:textId="77777777" w:rsidR="00DE122F" w:rsidRPr="00DE122F" w:rsidRDefault="00DE122F" w:rsidP="00DE122F">
                  <w:r w:rsidRPr="00DE122F">
                    <w:t> </w:t>
                  </w:r>
                </w:p>
              </w:tc>
              <w:tc>
                <w:tcPr>
                  <w:tcW w:w="0" w:type="auto"/>
                  <w:shd w:val="clear" w:color="auto" w:fill="FFFFFF"/>
                  <w:tcMar>
                    <w:top w:w="150" w:type="dxa"/>
                    <w:left w:w="0" w:type="dxa"/>
                    <w:bottom w:w="150" w:type="dxa"/>
                    <w:right w:w="0" w:type="dxa"/>
                  </w:tcMar>
                  <w:vAlign w:val="center"/>
                  <w:hideMark/>
                </w:tcPr>
                <w:p w14:paraId="25F66D51" w14:textId="74769F13" w:rsidR="00DE122F" w:rsidRPr="00DE122F" w:rsidRDefault="00DE122F" w:rsidP="00DE122F">
                  <w:r w:rsidRPr="00DE122F">
                    <w:drawing>
                      <wp:inline distT="0" distB="0" distL="0" distR="0" wp14:anchorId="56C3B3D6" wp14:editId="072D6B36">
                        <wp:extent cx="323850" cy="323850"/>
                        <wp:effectExtent l="0" t="0" r="0" b="0"/>
                        <wp:docPr id="1705957852" name="Picture 19" descr="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Number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79CC9357" w14:textId="77777777" w:rsidR="00DE122F" w:rsidRPr="00DE122F" w:rsidRDefault="00DE122F" w:rsidP="00DE122F">
                  <w:r w:rsidRPr="00DE122F">
                    <w:t> </w:t>
                  </w:r>
                </w:p>
              </w:tc>
              <w:tc>
                <w:tcPr>
                  <w:tcW w:w="0" w:type="auto"/>
                  <w:shd w:val="clear" w:color="auto" w:fill="FFFFFF"/>
                  <w:vAlign w:val="center"/>
                  <w:hideMark/>
                </w:tcPr>
                <w:p w14:paraId="383D656B" w14:textId="77777777" w:rsidR="00DE122F" w:rsidRPr="00DE122F" w:rsidRDefault="00DE122F" w:rsidP="00DE122F">
                  <w:r w:rsidRPr="00DE122F">
                    <w:t xml:space="preserve">The military offers unique benefits that encourage homeownership among veterans. Veterans often rank the VA home loan as the top benefit they receive </w:t>
                  </w:r>
                  <w:proofErr w:type="gramStart"/>
                  <w:r w:rsidRPr="00DE122F">
                    <w:t>as a result of</w:t>
                  </w:r>
                  <w:proofErr w:type="gramEnd"/>
                  <w:r w:rsidRPr="00DE122F">
                    <w:t xml:space="preserve"> their service.</w:t>
                  </w:r>
                </w:p>
              </w:tc>
              <w:tc>
                <w:tcPr>
                  <w:tcW w:w="0" w:type="auto"/>
                  <w:shd w:val="clear" w:color="auto" w:fill="FFFFFF"/>
                  <w:vAlign w:val="center"/>
                  <w:hideMark/>
                </w:tcPr>
                <w:p w14:paraId="26689A9B" w14:textId="77777777" w:rsidR="00DE122F" w:rsidRPr="00DE122F" w:rsidRDefault="00DE122F" w:rsidP="00DE122F">
                  <w:r w:rsidRPr="00DE122F">
                    <w:t> </w:t>
                  </w:r>
                </w:p>
              </w:tc>
            </w:tr>
            <w:tr w:rsidR="00DE122F" w:rsidRPr="00DE122F" w14:paraId="40BB9A43" w14:textId="77777777">
              <w:trPr>
                <w:jc w:val="center"/>
              </w:trPr>
              <w:tc>
                <w:tcPr>
                  <w:tcW w:w="0" w:type="auto"/>
                  <w:shd w:val="clear" w:color="auto" w:fill="FFFFFF"/>
                  <w:vAlign w:val="center"/>
                  <w:hideMark/>
                </w:tcPr>
                <w:p w14:paraId="1715F2B7" w14:textId="77777777" w:rsidR="00DE122F" w:rsidRPr="00DE122F" w:rsidRDefault="00DE122F" w:rsidP="00DE122F">
                  <w:r w:rsidRPr="00DE122F">
                    <w:t> </w:t>
                  </w:r>
                </w:p>
              </w:tc>
              <w:tc>
                <w:tcPr>
                  <w:tcW w:w="0" w:type="auto"/>
                  <w:shd w:val="clear" w:color="auto" w:fill="FFFFFF"/>
                  <w:tcMar>
                    <w:top w:w="150" w:type="dxa"/>
                    <w:left w:w="0" w:type="dxa"/>
                    <w:bottom w:w="150" w:type="dxa"/>
                    <w:right w:w="0" w:type="dxa"/>
                  </w:tcMar>
                  <w:vAlign w:val="center"/>
                  <w:hideMark/>
                </w:tcPr>
                <w:p w14:paraId="400D20CF" w14:textId="542CD5E8" w:rsidR="00DE122F" w:rsidRPr="00DE122F" w:rsidRDefault="00DE122F" w:rsidP="00DE122F">
                  <w:r w:rsidRPr="00DE122F">
                    <w:drawing>
                      <wp:inline distT="0" distB="0" distL="0" distR="0" wp14:anchorId="2CD6FF8C" wp14:editId="1D90B999">
                        <wp:extent cx="323850" cy="323850"/>
                        <wp:effectExtent l="0" t="0" r="0" b="0"/>
                        <wp:docPr id="1059358239" name="Picture 18" descr="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Number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52B0863B" w14:textId="77777777" w:rsidR="00DE122F" w:rsidRPr="00DE122F" w:rsidRDefault="00DE122F" w:rsidP="00DE122F">
                  <w:r w:rsidRPr="00DE122F">
                    <w:t> </w:t>
                  </w:r>
                </w:p>
              </w:tc>
              <w:tc>
                <w:tcPr>
                  <w:tcW w:w="0" w:type="auto"/>
                  <w:shd w:val="clear" w:color="auto" w:fill="FFFFFF"/>
                  <w:vAlign w:val="center"/>
                  <w:hideMark/>
                </w:tcPr>
                <w:p w14:paraId="591A67E3" w14:textId="77777777" w:rsidR="00DE122F" w:rsidRPr="00DE122F" w:rsidRDefault="00DE122F" w:rsidP="00DE122F">
                  <w:r w:rsidRPr="00DE122F">
                    <w:t>Most Americans hold the military in high regard, but most veterans feel the general population doesn’t understand their needs.</w:t>
                  </w:r>
                </w:p>
              </w:tc>
              <w:tc>
                <w:tcPr>
                  <w:tcW w:w="0" w:type="auto"/>
                  <w:shd w:val="clear" w:color="auto" w:fill="FFFFFF"/>
                  <w:vAlign w:val="center"/>
                  <w:hideMark/>
                </w:tcPr>
                <w:p w14:paraId="6510633A" w14:textId="77777777" w:rsidR="00DE122F" w:rsidRPr="00DE122F" w:rsidRDefault="00DE122F" w:rsidP="00DE122F">
                  <w:r w:rsidRPr="00DE122F">
                    <w:t> </w:t>
                  </w:r>
                </w:p>
              </w:tc>
            </w:tr>
            <w:tr w:rsidR="00DE122F" w:rsidRPr="00DE122F" w14:paraId="49AD9A9A" w14:textId="77777777">
              <w:trPr>
                <w:jc w:val="center"/>
              </w:trPr>
              <w:tc>
                <w:tcPr>
                  <w:tcW w:w="0" w:type="auto"/>
                  <w:shd w:val="clear" w:color="auto" w:fill="FFFFFF"/>
                  <w:vAlign w:val="center"/>
                  <w:hideMark/>
                </w:tcPr>
                <w:p w14:paraId="7819CF48" w14:textId="77777777" w:rsidR="00DE122F" w:rsidRPr="00DE122F" w:rsidRDefault="00DE122F" w:rsidP="00DE122F">
                  <w:r w:rsidRPr="00DE122F">
                    <w:t> </w:t>
                  </w:r>
                </w:p>
              </w:tc>
              <w:tc>
                <w:tcPr>
                  <w:tcW w:w="0" w:type="auto"/>
                  <w:shd w:val="clear" w:color="auto" w:fill="FFFFFF"/>
                  <w:tcMar>
                    <w:top w:w="150" w:type="dxa"/>
                    <w:left w:w="0" w:type="dxa"/>
                    <w:bottom w:w="150" w:type="dxa"/>
                    <w:right w:w="0" w:type="dxa"/>
                  </w:tcMar>
                  <w:vAlign w:val="center"/>
                  <w:hideMark/>
                </w:tcPr>
                <w:p w14:paraId="11320049" w14:textId="6D372B05" w:rsidR="00DE122F" w:rsidRPr="00DE122F" w:rsidRDefault="00DE122F" w:rsidP="00DE122F">
                  <w:r w:rsidRPr="00DE122F">
                    <w:drawing>
                      <wp:inline distT="0" distB="0" distL="0" distR="0" wp14:anchorId="4F16706E" wp14:editId="1ED1AF1A">
                        <wp:extent cx="323850" cy="336550"/>
                        <wp:effectExtent l="0" t="0" r="0" b="6350"/>
                        <wp:docPr id="51677183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46419F33" w14:textId="77777777" w:rsidR="00DE122F" w:rsidRPr="00DE122F" w:rsidRDefault="00DE122F" w:rsidP="00DE122F">
                  <w:r w:rsidRPr="00DE122F">
                    <w:t> </w:t>
                  </w:r>
                </w:p>
              </w:tc>
              <w:tc>
                <w:tcPr>
                  <w:tcW w:w="0" w:type="auto"/>
                  <w:shd w:val="clear" w:color="auto" w:fill="FFFFFF"/>
                  <w:vAlign w:val="center"/>
                  <w:hideMark/>
                </w:tcPr>
                <w:p w14:paraId="5E854795" w14:textId="77777777" w:rsidR="00DE122F" w:rsidRPr="00DE122F" w:rsidRDefault="00DE122F" w:rsidP="00DE122F">
                  <w:r w:rsidRPr="00DE122F">
                    <w:rPr>
                      <w:rFonts w:ascii="Arial" w:hAnsi="Arial" w:cs="Arial"/>
                    </w:rPr>
                    <w:t>​​</w:t>
                  </w:r>
                  <w:r w:rsidRPr="00DE122F">
                    <w:t>Veterans prioritize having a sense of control and stability in their lives. They score higher on financial well-being scales than nonveterans.</w:t>
                  </w:r>
                </w:p>
              </w:tc>
              <w:tc>
                <w:tcPr>
                  <w:tcW w:w="0" w:type="auto"/>
                  <w:shd w:val="clear" w:color="auto" w:fill="FFFFFF"/>
                  <w:vAlign w:val="center"/>
                  <w:hideMark/>
                </w:tcPr>
                <w:p w14:paraId="3A181A16" w14:textId="77777777" w:rsidR="00DE122F" w:rsidRPr="00DE122F" w:rsidRDefault="00DE122F" w:rsidP="00DE122F">
                  <w:r w:rsidRPr="00DE122F">
                    <w:t> </w:t>
                  </w:r>
                </w:p>
              </w:tc>
            </w:tr>
            <w:tr w:rsidR="00DE122F" w:rsidRPr="00DE122F" w14:paraId="50CCB1D6" w14:textId="77777777">
              <w:trPr>
                <w:jc w:val="center"/>
              </w:trPr>
              <w:tc>
                <w:tcPr>
                  <w:tcW w:w="0" w:type="auto"/>
                  <w:shd w:val="clear" w:color="auto" w:fill="FFFFFF"/>
                  <w:vAlign w:val="center"/>
                  <w:hideMark/>
                </w:tcPr>
                <w:p w14:paraId="2410F345" w14:textId="77777777" w:rsidR="00DE122F" w:rsidRPr="00DE122F" w:rsidRDefault="00DE122F" w:rsidP="00DE122F">
                  <w:r w:rsidRPr="00DE122F">
                    <w:t> </w:t>
                  </w:r>
                </w:p>
              </w:tc>
              <w:tc>
                <w:tcPr>
                  <w:tcW w:w="0" w:type="auto"/>
                  <w:shd w:val="clear" w:color="auto" w:fill="FFFFFF"/>
                  <w:tcMar>
                    <w:top w:w="150" w:type="dxa"/>
                    <w:left w:w="0" w:type="dxa"/>
                    <w:bottom w:w="150" w:type="dxa"/>
                    <w:right w:w="0" w:type="dxa"/>
                  </w:tcMar>
                  <w:vAlign w:val="center"/>
                  <w:hideMark/>
                </w:tcPr>
                <w:p w14:paraId="39515211" w14:textId="2325CAFF" w:rsidR="00DE122F" w:rsidRPr="00DE122F" w:rsidRDefault="00DE122F" w:rsidP="00DE122F">
                  <w:r w:rsidRPr="00DE122F">
                    <w:drawing>
                      <wp:inline distT="0" distB="0" distL="0" distR="0" wp14:anchorId="2AE40C3F" wp14:editId="1123BD67">
                        <wp:extent cx="323850" cy="336550"/>
                        <wp:effectExtent l="0" t="0" r="0" b="6350"/>
                        <wp:docPr id="1097028457" name="Picture 16" descr="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Number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36550"/>
                                </a:xfrm>
                                <a:prstGeom prst="rect">
                                  <a:avLst/>
                                </a:prstGeom>
                                <a:noFill/>
                                <a:ln>
                                  <a:noFill/>
                                </a:ln>
                              </pic:spPr>
                            </pic:pic>
                          </a:graphicData>
                        </a:graphic>
                      </wp:inline>
                    </w:drawing>
                  </w:r>
                </w:p>
              </w:tc>
              <w:tc>
                <w:tcPr>
                  <w:tcW w:w="0" w:type="auto"/>
                  <w:shd w:val="clear" w:color="auto" w:fill="FFFFFF"/>
                  <w:vAlign w:val="center"/>
                  <w:hideMark/>
                </w:tcPr>
                <w:p w14:paraId="7FC63242" w14:textId="77777777" w:rsidR="00DE122F" w:rsidRPr="00DE122F" w:rsidRDefault="00DE122F" w:rsidP="00DE122F">
                  <w:r w:rsidRPr="00DE122F">
                    <w:t> </w:t>
                  </w:r>
                </w:p>
              </w:tc>
              <w:tc>
                <w:tcPr>
                  <w:tcW w:w="0" w:type="auto"/>
                  <w:shd w:val="clear" w:color="auto" w:fill="FFFFFF"/>
                  <w:vAlign w:val="center"/>
                  <w:hideMark/>
                </w:tcPr>
                <w:p w14:paraId="7183173E" w14:textId="77777777" w:rsidR="00DE122F" w:rsidRPr="00DE122F" w:rsidRDefault="00DE122F" w:rsidP="00DE122F">
                  <w:r w:rsidRPr="00DE122F">
                    <w:t xml:space="preserve">Veterans have a heightened sense of responsibility. They vote more often than </w:t>
                  </w:r>
                  <w:proofErr w:type="gramStart"/>
                  <w:r w:rsidRPr="00DE122F">
                    <w:t>nonveterans</w:t>
                  </w:r>
                  <w:proofErr w:type="gramEnd"/>
                  <w:r w:rsidRPr="00DE122F">
                    <w:t xml:space="preserve"> and are more likely to be employed in managerial positions.</w:t>
                  </w:r>
                </w:p>
              </w:tc>
              <w:tc>
                <w:tcPr>
                  <w:tcW w:w="0" w:type="auto"/>
                  <w:shd w:val="clear" w:color="auto" w:fill="FFFFFF"/>
                  <w:vAlign w:val="center"/>
                  <w:hideMark/>
                </w:tcPr>
                <w:p w14:paraId="4D1F9CBC" w14:textId="77777777" w:rsidR="00DE122F" w:rsidRPr="00DE122F" w:rsidRDefault="00DE122F" w:rsidP="00DE122F">
                  <w:r w:rsidRPr="00DE122F">
                    <w:t> </w:t>
                  </w:r>
                </w:p>
              </w:tc>
            </w:tr>
            <w:tr w:rsidR="00DE122F" w:rsidRPr="00DE122F" w14:paraId="6468DD32" w14:textId="77777777">
              <w:trPr>
                <w:jc w:val="center"/>
              </w:trPr>
              <w:tc>
                <w:tcPr>
                  <w:tcW w:w="0" w:type="auto"/>
                  <w:shd w:val="clear" w:color="auto" w:fill="FFFFFF"/>
                  <w:vAlign w:val="center"/>
                  <w:hideMark/>
                </w:tcPr>
                <w:p w14:paraId="57CF3AE7" w14:textId="77777777" w:rsidR="00DE122F" w:rsidRPr="00DE122F" w:rsidRDefault="00DE122F" w:rsidP="00DE122F">
                  <w:r w:rsidRPr="00DE122F">
                    <w:t> </w:t>
                  </w:r>
                </w:p>
              </w:tc>
              <w:tc>
                <w:tcPr>
                  <w:tcW w:w="0" w:type="auto"/>
                  <w:shd w:val="clear" w:color="auto" w:fill="FFFFFF"/>
                  <w:tcMar>
                    <w:top w:w="150" w:type="dxa"/>
                    <w:left w:w="0" w:type="dxa"/>
                    <w:bottom w:w="150" w:type="dxa"/>
                    <w:right w:w="0" w:type="dxa"/>
                  </w:tcMar>
                  <w:vAlign w:val="center"/>
                  <w:hideMark/>
                </w:tcPr>
                <w:p w14:paraId="441399CB" w14:textId="0BAB7233" w:rsidR="00DE122F" w:rsidRPr="00DE122F" w:rsidRDefault="00DE122F" w:rsidP="00DE122F">
                  <w:r w:rsidRPr="00DE122F">
                    <w:drawing>
                      <wp:inline distT="0" distB="0" distL="0" distR="0" wp14:anchorId="09B69007" wp14:editId="1609A92A">
                        <wp:extent cx="323850" cy="323850"/>
                        <wp:effectExtent l="0" t="0" r="0" b="0"/>
                        <wp:docPr id="142874049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0" w:type="auto"/>
                  <w:shd w:val="clear" w:color="auto" w:fill="FFFFFF"/>
                  <w:vAlign w:val="center"/>
                  <w:hideMark/>
                </w:tcPr>
                <w:p w14:paraId="3EFFCD79" w14:textId="77777777" w:rsidR="00DE122F" w:rsidRPr="00DE122F" w:rsidRDefault="00DE122F" w:rsidP="00DE122F">
                  <w:r w:rsidRPr="00DE122F">
                    <w:t> </w:t>
                  </w:r>
                </w:p>
              </w:tc>
              <w:tc>
                <w:tcPr>
                  <w:tcW w:w="0" w:type="auto"/>
                  <w:shd w:val="clear" w:color="auto" w:fill="FFFFFF"/>
                  <w:vAlign w:val="center"/>
                  <w:hideMark/>
                </w:tcPr>
                <w:p w14:paraId="767A74CB" w14:textId="77777777" w:rsidR="00DE122F" w:rsidRPr="00DE122F" w:rsidRDefault="00DE122F" w:rsidP="00DE122F">
                  <w:r w:rsidRPr="00DE122F">
                    <w:t>Surveys find that veteran consumers prioritize connection — specifically how well businesses understand the military community. C.A.R. resources can help you become a trusted guide to veterans during the homebuying process.</w:t>
                  </w:r>
                </w:p>
              </w:tc>
              <w:tc>
                <w:tcPr>
                  <w:tcW w:w="0" w:type="auto"/>
                  <w:shd w:val="clear" w:color="auto" w:fill="FFFFFF"/>
                  <w:vAlign w:val="center"/>
                  <w:hideMark/>
                </w:tcPr>
                <w:p w14:paraId="52DF87C8" w14:textId="77777777" w:rsidR="00DE122F" w:rsidRPr="00DE122F" w:rsidRDefault="00DE122F" w:rsidP="00DE122F">
                  <w:r w:rsidRPr="00DE122F">
                    <w:t> </w:t>
                  </w:r>
                </w:p>
              </w:tc>
            </w:tr>
          </w:tbl>
          <w:p w14:paraId="25FAA354" w14:textId="158C1E8A" w:rsidR="00DE122F" w:rsidRPr="00DE122F" w:rsidRDefault="00DE122F" w:rsidP="00DE122F"/>
          <w:tbl>
            <w:tblPr>
              <w:tblW w:w="9750" w:type="dxa"/>
              <w:jc w:val="center"/>
              <w:shd w:val="clear" w:color="auto" w:fill="FFFFFF"/>
              <w:tblCellMar>
                <w:left w:w="0" w:type="dxa"/>
                <w:right w:w="0" w:type="dxa"/>
              </w:tblCellMar>
              <w:tblLook w:val="04A0" w:firstRow="1" w:lastRow="0" w:firstColumn="1" w:lastColumn="0" w:noHBand="0" w:noVBand="1"/>
            </w:tblPr>
            <w:tblGrid>
              <w:gridCol w:w="10200"/>
            </w:tblGrid>
            <w:tr w:rsidR="00DE122F" w:rsidRPr="00DE122F" w14:paraId="48CC9D1B" w14:textId="77777777">
              <w:trPr>
                <w:jc w:val="center"/>
              </w:trPr>
              <w:tc>
                <w:tcPr>
                  <w:tcW w:w="0" w:type="auto"/>
                  <w:shd w:val="clear" w:color="auto" w:fill="FFFFFF"/>
                  <w:tcMar>
                    <w:top w:w="0" w:type="dxa"/>
                    <w:left w:w="420" w:type="dxa"/>
                    <w:bottom w:w="0" w:type="dxa"/>
                    <w:right w:w="420" w:type="dxa"/>
                  </w:tcMar>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49"/>
                    <w:gridCol w:w="9262"/>
                    <w:gridCol w:w="49"/>
                  </w:tblGrid>
                  <w:tr w:rsidR="00DE122F" w:rsidRPr="00DE122F" w14:paraId="7ED33BF3" w14:textId="77777777">
                    <w:trPr>
                      <w:jc w:val="center"/>
                    </w:trPr>
                    <w:tc>
                      <w:tcPr>
                        <w:tcW w:w="0" w:type="auto"/>
                        <w:shd w:val="clear" w:color="auto" w:fill="FFFFFF"/>
                        <w:vAlign w:val="center"/>
                        <w:hideMark/>
                      </w:tcPr>
                      <w:p w14:paraId="1B589107" w14:textId="77777777" w:rsidR="00DE122F" w:rsidRPr="00DE122F" w:rsidRDefault="00DE122F" w:rsidP="00DE122F">
                        <w:r w:rsidRPr="00DE122F">
                          <w:t> </w:t>
                        </w:r>
                      </w:p>
                    </w:tc>
                    <w:tc>
                      <w:tcPr>
                        <w:tcW w:w="0" w:type="auto"/>
                        <w:shd w:val="clear" w:color="auto" w:fill="FFFFFF"/>
                        <w:tcMar>
                          <w:top w:w="225" w:type="dxa"/>
                          <w:left w:w="0" w:type="dxa"/>
                          <w:bottom w:w="225" w:type="dxa"/>
                          <w:right w:w="0" w:type="dxa"/>
                        </w:tcMar>
                        <w:vAlign w:val="center"/>
                        <w:hideMark/>
                      </w:tcPr>
                      <w:p w14:paraId="2FC08645" w14:textId="3B7C5818" w:rsidR="00DE122F" w:rsidRPr="00DE122F" w:rsidRDefault="00DE122F" w:rsidP="00DE122F">
                        <w:r w:rsidRPr="00DE122F">
                          <w:t xml:space="preserve">Missed an issue? Visit the Consumer Trends and Insights </w:t>
                        </w:r>
                        <w:hyperlink r:id="rId20" w:tgtFrame="_blank" w:tooltip="Protected by Check Point: https://www.ccre.us/..." w:history="1">
                          <w:r w:rsidRPr="00DE122F">
                            <w:rPr>
                              <w:rStyle w:val="Hyperlink"/>
                            </w:rPr>
                            <w:t>archive</w:t>
                          </w:r>
                        </w:hyperlink>
                        <w:r w:rsidRPr="00DE122F">
                          <w:t xml:space="preserve"> on the CCRE website.</w:t>
                        </w:r>
                        <w:r w:rsidRPr="00DE122F">
                          <w:br/>
                        </w:r>
                        <w:r w:rsidRPr="00DE122F">
                          <w:br/>
                        </w:r>
                        <w:r w:rsidRPr="00DE122F">
                          <w:rPr>
                            <w:b/>
                            <w:bCs/>
                          </w:rPr>
                          <w:t>Disclaimer</w:t>
                        </w:r>
                        <w:r w:rsidRPr="00DE122F">
                          <w:t>: Use of the materials contained in </w:t>
                        </w:r>
                        <w:r w:rsidRPr="00DE122F">
                          <w:rPr>
                            <w:i/>
                            <w:iCs/>
                          </w:rPr>
                          <w:t>CCRE Consumer Trends and Insights</w:t>
                        </w:r>
                        <w:r w:rsidRPr="00DE122F">
                          <w:t> must include proper attribution to Kantar, LLC. Attribution is already built into the downloadable tools, and members are asked not to remove or alter these credits when sharing with clients or the public.</w:t>
                        </w:r>
                      </w:p>
                    </w:tc>
                    <w:tc>
                      <w:tcPr>
                        <w:tcW w:w="0" w:type="auto"/>
                        <w:shd w:val="clear" w:color="auto" w:fill="FFFFFF"/>
                        <w:vAlign w:val="center"/>
                        <w:hideMark/>
                      </w:tcPr>
                      <w:p w14:paraId="07EBDEE9" w14:textId="77777777" w:rsidR="00DE122F" w:rsidRPr="00DE122F" w:rsidRDefault="00DE122F" w:rsidP="00DE122F">
                        <w:r w:rsidRPr="00DE122F">
                          <w:t> </w:t>
                        </w:r>
                      </w:p>
                    </w:tc>
                  </w:tr>
                </w:tbl>
                <w:p w14:paraId="08AFD909" w14:textId="2C4C60E5" w:rsidR="00DE122F" w:rsidRPr="00DE122F" w:rsidRDefault="00DE122F" w:rsidP="00DE122F"/>
                <w:tbl>
                  <w:tblPr>
                    <w:tblW w:w="8895" w:type="dxa"/>
                    <w:jc w:val="center"/>
                    <w:shd w:val="clear" w:color="auto" w:fill="FFFFFF"/>
                    <w:tblCellMar>
                      <w:left w:w="0" w:type="dxa"/>
                      <w:right w:w="0" w:type="dxa"/>
                    </w:tblCellMar>
                    <w:tblLook w:val="04A0" w:firstRow="1" w:lastRow="0" w:firstColumn="1" w:lastColumn="0" w:noHBand="0" w:noVBand="1"/>
                  </w:tblPr>
                  <w:tblGrid>
                    <w:gridCol w:w="9360"/>
                  </w:tblGrid>
                  <w:tr w:rsidR="00DE122F" w:rsidRPr="00DE122F" w14:paraId="0F9781FA" w14:textId="77777777">
                    <w:trPr>
                      <w:jc w:val="center"/>
                    </w:trPr>
                    <w:tc>
                      <w:tcPr>
                        <w:tcW w:w="0" w:type="auto"/>
                        <w:shd w:val="clear" w:color="auto" w:fill="FFFFFF"/>
                        <w:tcMar>
                          <w:top w:w="150" w:type="dxa"/>
                          <w:left w:w="0" w:type="dxa"/>
                          <w:bottom w:w="150" w:type="dxa"/>
                          <w:right w:w="0" w:type="dxa"/>
                        </w:tcMar>
                        <w:vAlign w:val="center"/>
                        <w:hideMark/>
                      </w:tcPr>
                      <w:p w14:paraId="5D25D634" w14:textId="24771987" w:rsidR="00DE122F" w:rsidRPr="00DE122F" w:rsidRDefault="00DE122F" w:rsidP="00DE122F">
                        <w:r w:rsidRPr="00DE122F">
                          <w:drawing>
                            <wp:inline distT="0" distB="0" distL="0" distR="0" wp14:anchorId="3BC0066E" wp14:editId="3A8AA2DC">
                              <wp:extent cx="5943600" cy="389255"/>
                              <wp:effectExtent l="0" t="0" r="0" b="0"/>
                              <wp:docPr id="494232186" name="Picture 14">
                                <a:hlinkClick xmlns:a="http://schemas.openxmlformats.org/drawingml/2006/main" r:id="rId21" tooltip="Protected by Check Point: https://www.ccre.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389255"/>
                                      </a:xfrm>
                                      <a:prstGeom prst="rect">
                                        <a:avLst/>
                                      </a:prstGeom>
                                      <a:noFill/>
                                      <a:ln>
                                        <a:noFill/>
                                      </a:ln>
                                    </pic:spPr>
                                  </pic:pic>
                                </a:graphicData>
                              </a:graphic>
                            </wp:inline>
                          </w:drawing>
                        </w:r>
                      </w:p>
                    </w:tc>
                  </w:tr>
                </w:tbl>
                <w:p w14:paraId="42621BAD" w14:textId="77777777" w:rsidR="00DE122F" w:rsidRPr="00DE122F" w:rsidRDefault="00DE122F" w:rsidP="00DE122F"/>
              </w:tc>
            </w:tr>
          </w:tbl>
          <w:p w14:paraId="4C83F73D" w14:textId="42B56E41" w:rsidR="00DE122F" w:rsidRPr="00DE122F" w:rsidRDefault="00DE122F" w:rsidP="00DE122F">
            <w:r w:rsidRPr="00DE122F">
              <w:lastRenderedPageBreak/>
              <w:t xml:space="preserve">This message was sent to %%email%%. Visit your </w:t>
            </w:r>
            <w:hyperlink r:id="rId23" w:tooltip="Protected by Check Point: http://subscribe.car.org/..." w:history="1">
              <w:r w:rsidRPr="00DE122F">
                <w:rPr>
                  <w:rStyle w:val="Hyperlink"/>
                </w:rPr>
                <w:t>subscription management page</w:t>
              </w:r>
            </w:hyperlink>
            <w:r w:rsidRPr="00DE122F">
              <w:t xml:space="preserve"> to unsubscribe or modify your email communication preferences. To update the email address to which this newsletter is sent, please contact your local association.</w:t>
            </w:r>
            <w:r w:rsidRPr="00DE122F">
              <w:br/>
            </w:r>
            <w:r w:rsidRPr="00DE122F">
              <w:br/>
              <w:t xml:space="preserve">Advertising Inquiries: learn how you can </w:t>
            </w:r>
            <w:hyperlink r:id="rId24" w:tgtFrame="_blank" w:tooltip="Protected by Check Point: https://www.car.org/..." w:history="1">
              <w:r w:rsidRPr="00DE122F">
                <w:rPr>
                  <w:rStyle w:val="Hyperlink"/>
                </w:rPr>
                <w:t>advertise in this email newsletter</w:t>
              </w:r>
            </w:hyperlink>
            <w:r w:rsidRPr="00DE122F">
              <w:t>.</w:t>
            </w:r>
            <w:r w:rsidRPr="00DE122F">
              <w:br/>
            </w:r>
            <w:r w:rsidRPr="00DE122F">
              <w:br/>
              <w:t>CALIFORNIA ASSOCIATION OF REALTORS® • 915 L Street, #1460, Sacramento, CA 95814</w:t>
            </w:r>
            <w:r w:rsidRPr="00DE122F">
              <w:br/>
              <w:t>Copyright © 2025, All rights reserved.</w:t>
            </w:r>
          </w:p>
          <w:tbl>
            <w:tblPr>
              <w:tblW w:w="5000" w:type="pct"/>
              <w:jc w:val="center"/>
              <w:shd w:val="clear" w:color="auto" w:fill="FFFFFF"/>
              <w:tblCellMar>
                <w:left w:w="0" w:type="dxa"/>
                <w:right w:w="0" w:type="dxa"/>
              </w:tblCellMar>
              <w:tblLook w:val="04A0" w:firstRow="1" w:lastRow="0" w:firstColumn="1" w:lastColumn="0" w:noHBand="0" w:noVBand="1"/>
            </w:tblPr>
            <w:tblGrid>
              <w:gridCol w:w="10496"/>
            </w:tblGrid>
            <w:tr w:rsidR="00DE122F" w:rsidRPr="00DE122F" w14:paraId="7DC79CEA" w14:textId="77777777">
              <w:trPr>
                <w:jc w:val="center"/>
              </w:trPr>
              <w:tc>
                <w:tcPr>
                  <w:tcW w:w="0" w:type="auto"/>
                  <w:shd w:val="clear" w:color="auto" w:fill="FFFFFF"/>
                  <w:vAlign w:val="center"/>
                  <w:hideMark/>
                </w:tcPr>
                <w:p w14:paraId="7DB0AC1C" w14:textId="77777777" w:rsidR="00DE122F" w:rsidRPr="00DE122F" w:rsidRDefault="00DE122F" w:rsidP="00DE122F"/>
              </w:tc>
            </w:tr>
          </w:tbl>
          <w:p w14:paraId="6DDBA8D4" w14:textId="77777777" w:rsidR="00DE122F" w:rsidRPr="00DE122F" w:rsidRDefault="00DE122F" w:rsidP="00DE122F"/>
        </w:tc>
      </w:tr>
    </w:tbl>
    <w:p w14:paraId="608957F5" w14:textId="77777777" w:rsidR="00DE122F" w:rsidRPr="00DE122F" w:rsidRDefault="00DE122F" w:rsidP="00DE122F"/>
    <w:p w14:paraId="73831316" w14:textId="77777777" w:rsidR="00DE122F" w:rsidRDefault="00DE122F"/>
    <w:sectPr w:rsidR="00DE12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22F"/>
    <w:rsid w:val="002C38CB"/>
    <w:rsid w:val="00DE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7073A7"/>
  <w15:chartTrackingRefBased/>
  <w15:docId w15:val="{783FA3C7-44BF-4588-9B77-5607FD83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22F"/>
    <w:rPr>
      <w:rFonts w:eastAsiaTheme="majorEastAsia" w:cstheme="majorBidi"/>
      <w:color w:val="272727" w:themeColor="text1" w:themeTint="D8"/>
    </w:rPr>
  </w:style>
  <w:style w:type="paragraph" w:styleId="Title">
    <w:name w:val="Title"/>
    <w:basedOn w:val="Normal"/>
    <w:next w:val="Normal"/>
    <w:link w:val="TitleChar"/>
    <w:uiPriority w:val="10"/>
    <w:qFormat/>
    <w:rsid w:val="00DE1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22F"/>
    <w:pPr>
      <w:spacing w:before="160"/>
      <w:jc w:val="center"/>
    </w:pPr>
    <w:rPr>
      <w:i/>
      <w:iCs/>
      <w:color w:val="404040" w:themeColor="text1" w:themeTint="BF"/>
    </w:rPr>
  </w:style>
  <w:style w:type="character" w:customStyle="1" w:styleId="QuoteChar">
    <w:name w:val="Quote Char"/>
    <w:basedOn w:val="DefaultParagraphFont"/>
    <w:link w:val="Quote"/>
    <w:uiPriority w:val="29"/>
    <w:rsid w:val="00DE122F"/>
    <w:rPr>
      <w:i/>
      <w:iCs/>
      <w:color w:val="404040" w:themeColor="text1" w:themeTint="BF"/>
    </w:rPr>
  </w:style>
  <w:style w:type="paragraph" w:styleId="ListParagraph">
    <w:name w:val="List Paragraph"/>
    <w:basedOn w:val="Normal"/>
    <w:uiPriority w:val="34"/>
    <w:qFormat/>
    <w:rsid w:val="00DE122F"/>
    <w:pPr>
      <w:ind w:left="720"/>
      <w:contextualSpacing/>
    </w:pPr>
  </w:style>
  <w:style w:type="character" w:styleId="IntenseEmphasis">
    <w:name w:val="Intense Emphasis"/>
    <w:basedOn w:val="DefaultParagraphFont"/>
    <w:uiPriority w:val="21"/>
    <w:qFormat/>
    <w:rsid w:val="00DE122F"/>
    <w:rPr>
      <w:i/>
      <w:iCs/>
      <w:color w:val="0F4761" w:themeColor="accent1" w:themeShade="BF"/>
    </w:rPr>
  </w:style>
  <w:style w:type="paragraph" w:styleId="IntenseQuote">
    <w:name w:val="Intense Quote"/>
    <w:basedOn w:val="Normal"/>
    <w:next w:val="Normal"/>
    <w:link w:val="IntenseQuoteChar"/>
    <w:uiPriority w:val="30"/>
    <w:qFormat/>
    <w:rsid w:val="00DE1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22F"/>
    <w:rPr>
      <w:i/>
      <w:iCs/>
      <w:color w:val="0F4761" w:themeColor="accent1" w:themeShade="BF"/>
    </w:rPr>
  </w:style>
  <w:style w:type="character" w:styleId="IntenseReference">
    <w:name w:val="Intense Reference"/>
    <w:basedOn w:val="DefaultParagraphFont"/>
    <w:uiPriority w:val="32"/>
    <w:qFormat/>
    <w:rsid w:val="00DE122F"/>
    <w:rPr>
      <w:b/>
      <w:bCs/>
      <w:smallCaps/>
      <w:color w:val="0F4761" w:themeColor="accent1" w:themeShade="BF"/>
      <w:spacing w:val="5"/>
    </w:rPr>
  </w:style>
  <w:style w:type="character" w:styleId="Hyperlink">
    <w:name w:val="Hyperlink"/>
    <w:basedOn w:val="DefaultParagraphFont"/>
    <w:uiPriority w:val="99"/>
    <w:unhideWhenUsed/>
    <w:rsid w:val="00DE122F"/>
    <w:rPr>
      <w:color w:val="467886" w:themeColor="hyperlink"/>
      <w:u w:val="single"/>
    </w:rPr>
  </w:style>
  <w:style w:type="character" w:styleId="UnresolvedMention">
    <w:name w:val="Unresolved Mention"/>
    <w:basedOn w:val="DefaultParagraphFont"/>
    <w:uiPriority w:val="99"/>
    <w:semiHidden/>
    <w:unhideWhenUsed/>
    <w:rsid w:val="00DE12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793031">
      <w:bodyDiv w:val="1"/>
      <w:marLeft w:val="0"/>
      <w:marRight w:val="0"/>
      <w:marTop w:val="0"/>
      <w:marBottom w:val="0"/>
      <w:divBdr>
        <w:top w:val="none" w:sz="0" w:space="0" w:color="auto"/>
        <w:left w:val="none" w:sz="0" w:space="0" w:color="auto"/>
        <w:bottom w:val="none" w:sz="0" w:space="0" w:color="auto"/>
        <w:right w:val="none" w:sz="0" w:space="0" w:color="auto"/>
      </w:divBdr>
    </w:div>
    <w:div w:id="17361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protect.checkpoint.com/v2/r01/___https:/www.car.org/-drjinfdHFWdIthzrjsyxdHtsxzrjw-Ywjsix-fsi-NsxnlmyxdRnqnyfwD-0jyjwfsxdHYN_0jyjwfsx_Nsktl_Knsfq.uik___.YzJ1OmNhbGlmb3JuaWFhc3NvY2lhdGlvbm9mcmVhbHRvcnMyOmM6bzoyMjc2Nzk1YjExZWVkOTUxNjE3NjM3NjI2MTU5MTc5NDo3OjViMGM6YTIzOGI3MGU5MmJkZDg1NmVkZDM5Yzc2MGRiMGIzYmQ0NWYxN2E2Y2E5ODU0NmNmODcyYjQxNmFhMzg3ODQzZDpoOlQ6VA" TargetMode="External"/><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protect.checkpoint.com/v2/r01/___https:/www.ccre.us___.YzJ1OmNhbGlmb3JuaWFhc3NvY2lhdGlvbm9mcmVhbHRvcnMyOmM6bzoyMjc2Nzk1YjExZWVkOTUxNjE3NjM3NjI2MTU5MTc5NDo3OjhlMWM6YTYyZTM0ODRjMGVhODc4YTRkYzE4ZjFmMjI5OTNhZDZhNjg3NDU3ODFhOWE1NTRlYjNmY2UwZmNiZWEwNDEwYjpoOlQ6VA" TargetMode="External"/><Relationship Id="rId7" Type="http://schemas.openxmlformats.org/officeDocument/2006/relationships/hyperlink" Target="https://protect.checkpoint.com/v2/r01/___https:/www.car.org/-drjinfdHFWdIthzrjsyxdHtsxzrjw-Ywjsix-fsi-NsxnlmyxdRnqnyfwD-0jyjwfsxdHYN_0jyjwfsxUUY_Knsfq.uuyC___.YzJ1OmNhbGlmb3JuaWFhc3NvY2lhdGlvbm9mcmVhbHRvcnMyOmM6bzoyMjc2Nzk1YjExZWVkOTUxNjE3NjM3NjI2MTU5MTc5NDo3OmFmNTU6NjEzMzM0YTI1N2IwNmY5YjFjZGYyZDk4YmI0ZjQ4ZTI0YmVhYWJkMGE5YWI2YTdiOGNhNjQ1N2U3YmE5MWJhYzpoOlQ6VA" TargetMode="External"/><Relationship Id="rId12" Type="http://schemas.openxmlformats.org/officeDocument/2006/relationships/hyperlink" Target="https://protect.checkpoint.com/v2/r01/___https:/www.car.org/-drjinfdHFWdIthzrjsyxdHtsxzrjw-Ywjsix-fsi-NsxnlmyxdRnqnyfwD-0jyjwfsxdHYN_0jyjwfsx_Nsktl_Knsfq.uik___.YzJ1OmNhbGlmb3JuaWFhc3NvY2lhdGlvbm9mcmVhbHRvcnMyOmM6bzoyMjc2Nzk1YjExZWVkOTUxNjE3NjM3NjI2MTU5MTc5NDo3OjM5MjY6YmE4MjlhNDI1ZjgwZjFhNWU3NWZlYjAwM2ZhMzY3ZTU3NTA2MGRmODhhYjU5Y2NjNjQ3ZjAyZTI1YzdmYTRiNzpoOlQ6VA"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hyperlink" Target="https://protect.checkpoint.com/v2/r01/___https:/www.ccre.us/htsxzrjw-ywjsix-nsxnlmyx___.YzJ1OmNhbGlmb3JuaWFhc3NvY2lhdGlvbm9mcmVhbHRvcnMyOmM6bzoyMjc2Nzk1YjExZWVkOTUxNjE3NjM3NjI2MTU5MTc5NDo3OjI0MWM6NWY5YTA0MmY5ZTlkZTc4ODFhZGM5MDc4YzY3ZDE5NGY2MDZlMWVhYjliODZhNDYwZmYxNTJjOTU3NDIyYTRjMDpoOlQ6VA"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protect.checkpoint.com/v2/r01/___https:/car.org/pstBqjiljduzgxdywjsixfsinsxnlmyxdrnqnyfwDAjyjwfsxdxthnfqrjinf___.YzJ1OmNhbGlmb3JuaWFhc3NvY2lhdGlvbm9mcmVhbHRvcnMyOmM6bzoyMjc2Nzk1YjExZWVkOTUxNjE3NjM3NjI2MTU5MTc5NDo3OmVhNWM6OTkyOGIxOWM2NmQyZjgxZTYwNzU3OTkyZjdjZmQyNzZhNzJmNjE3NjExMGU0ZWE3NmFjZjdlMjJmMDI0NDY1YzpoOlQ6VA" TargetMode="External"/><Relationship Id="rId24" Type="http://schemas.openxmlformats.org/officeDocument/2006/relationships/hyperlink" Target="https://protect.checkpoint.com/v2/r01/___https:/www.car.org/fgtzyzxdrjinfpnyfiwfyjx___.YzJ1OmNhbGlmb3JuaWFhc3NvY2lhdGlvbm9mcmVhbHRvcnMyOmM6bzoyMjc2Nzk1YjExZWVkOTUxNjE3NjM3NjI2MTU5MTc5NDo3OjU4NjM6MDFhMjM2YzNmYTIzZTVlNDA3OTU5NDg4OGZlZTU0ZDQ2ODBmYTI1MWU4YTNmN2FiYTBlMzdjMjgwNGQ4NzIyMzpoOlQ6VA" TargetMode="External"/><Relationship Id="rId5" Type="http://schemas.openxmlformats.org/officeDocument/2006/relationships/hyperlink" Target="https://protect.checkpoint.com/v2/r01/___https:/www.car.org/-drjinfdHFWdIthzrjsyxdHtsxzrjw-Ywjsix-fsi-NsxnlmyxdRnqnyfwD-0jyjwfsxdHYN_0jyjwfsxUUY_Knsfq.uuyC___.YzJ1OmNhbGlmb3JuaWFhc3NvY2lhdGlvbm9mcmVhbHRvcnMyOmM6bzoyMjc2Nzk1YjExZWVkOTUxNjE3NjM3NjI2MTU5MTc5NDo3OjNlYzc6ZTRhMzIyZTI0ZDkwMGNjZjU5Yzc5MDZkOTk4YWZmMjQ4NTRhNzY4MTJkODFlYTZjMDAwYWIwMTMzOWU5MTAxODpoOlQ6VA" TargetMode="External"/><Relationship Id="rId15" Type="http://schemas.openxmlformats.org/officeDocument/2006/relationships/image" Target="media/image6.png"/><Relationship Id="rId23" Type="http://schemas.openxmlformats.org/officeDocument/2006/relationships/hyperlink" Target="https://protect.checkpoint.com/v2/r01/___http:/subscribe.car.org/rfsflj?juh_mfxm=l*~*AzhNmlTExtg6LnfA/8ovkApHpimWAxS*~*gIsGbI8TN___.YzJ1OmNhbGlmb3JuaWFhc3NvY2lhdGlvbm9mcmVhbHRvcnMyOmM6bzoyMjc2Nzk1YjExZWVkOTUxNjE3NjM3NjI2MTU5MTc5NDo3OjhhZDY6YTAwYTRhMWIyNDliMWUwOTFkYzcwODVmNzY5YTk4ZmVhNmY3ZDFiOGVmZjM5MzE0YTkyMzI4Mzk5MzVjNDQwZTpoOlQ6VA" TargetMode="External"/><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image" Target="media/image1.jpeg"/><Relationship Id="rId9" Type="http://schemas.openxmlformats.org/officeDocument/2006/relationships/hyperlink" Target="https://protect.checkpoint.com/v2/r01/___https:/car.org/pstBqjiljduzgxdywjsixfsinsxnlmyxdrnqnyfwDAjyjwfsxdxthnfqrjinf___.YzJ1OmNhbGlmb3JuaWFhc3NvY2lhdGlvbm9mcmVhbHRvcnMyOmM6bzoyMjc2Nzk1YjExZWVkOTUxNjE3NjM3NjI2MTU5MTc5NDo3OjZhNDQ6OWQ5YWFjYjZmOWRmYjIyZTM3NTlkMDI5ZTYzMGRmYTJjZjhjNWQ1N2EyNGFjMDhkMTcyN2Y3OGM0YTI3ODBmZTpoOlQ6VA" TargetMode="External"/><Relationship Id="rId14" Type="http://schemas.openxmlformats.org/officeDocument/2006/relationships/image" Target="media/image5.jpeg"/><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Winters</dc:creator>
  <cp:keywords/>
  <dc:description/>
  <cp:lastModifiedBy>Claire Winters</cp:lastModifiedBy>
  <cp:revision>2</cp:revision>
  <dcterms:created xsi:type="dcterms:W3CDTF">2025-11-04T18:55:00Z</dcterms:created>
  <dcterms:modified xsi:type="dcterms:W3CDTF">2025-11-04T18:55:00Z</dcterms:modified>
</cp:coreProperties>
</file>