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FFFFF"/>
        <w:tblCellMar>
          <w:left w:w="0" w:type="dxa"/>
          <w:right w:w="0" w:type="dxa"/>
        </w:tblCellMar>
        <w:tblLook w:val="04A0" w:firstRow="1" w:lastRow="0" w:firstColumn="1" w:lastColumn="0" w:noHBand="0" w:noVBand="1"/>
      </w:tblPr>
      <w:tblGrid>
        <w:gridCol w:w="9360"/>
      </w:tblGrid>
      <w:tr w:rsidR="00A050A7" w:rsidRPr="00A050A7" w14:paraId="3C6C084D" w14:textId="77777777">
        <w:trPr>
          <w:jc w:val="center"/>
        </w:trPr>
        <w:tc>
          <w:tcPr>
            <w:tcW w:w="0" w:type="auto"/>
            <w:shd w:val="clear" w:color="auto" w:fill="FFFFFF"/>
            <w:tcMar>
              <w:top w:w="300" w:type="dxa"/>
              <w:left w:w="0" w:type="dxa"/>
              <w:bottom w:w="300" w:type="dxa"/>
              <w:right w:w="0" w:type="dxa"/>
            </w:tcMar>
            <w:vAlign w:val="center"/>
            <w:hideMark/>
          </w:tcPr>
          <w:p w14:paraId="1D93713E" w14:textId="50F571E3" w:rsidR="00A050A7" w:rsidRPr="00A050A7" w:rsidRDefault="00A050A7" w:rsidP="00A050A7">
            <w:r w:rsidRPr="00A050A7">
              <w:drawing>
                <wp:inline distT="0" distB="0" distL="0" distR="0" wp14:anchorId="67D329ED" wp14:editId="264F09C6">
                  <wp:extent cx="5943600" cy="1322705"/>
                  <wp:effectExtent l="0" t="0" r="0" b="0"/>
                  <wp:docPr id="470600639" name="Picture 2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00639" name="Picture 29" descr="A close-up of a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322705"/>
                          </a:xfrm>
                          <a:prstGeom prst="rect">
                            <a:avLst/>
                          </a:prstGeom>
                          <a:noFill/>
                          <a:ln>
                            <a:noFill/>
                          </a:ln>
                        </pic:spPr>
                      </pic:pic>
                    </a:graphicData>
                  </a:graphic>
                </wp:inline>
              </w:drawing>
            </w:r>
          </w:p>
        </w:tc>
      </w:tr>
    </w:tbl>
    <w:p w14:paraId="17875555" w14:textId="77777777" w:rsidR="00A050A7" w:rsidRPr="00A050A7" w:rsidRDefault="00A050A7" w:rsidP="00A050A7">
      <w:pPr>
        <w:rPr>
          <w:vanish/>
        </w:rPr>
      </w:pPr>
    </w:p>
    <w:tbl>
      <w:tblPr>
        <w:tblW w:w="5000" w:type="pct"/>
        <w:jc w:val="center"/>
        <w:shd w:val="clear" w:color="auto" w:fill="FFFFFF"/>
        <w:tblCellMar>
          <w:left w:w="0" w:type="dxa"/>
          <w:right w:w="0" w:type="dxa"/>
        </w:tblCellMar>
        <w:tblLook w:val="04A0" w:firstRow="1" w:lastRow="0" w:firstColumn="1" w:lastColumn="0" w:noHBand="0" w:noVBand="1"/>
      </w:tblPr>
      <w:tblGrid>
        <w:gridCol w:w="49"/>
        <w:gridCol w:w="9262"/>
        <w:gridCol w:w="49"/>
      </w:tblGrid>
      <w:tr w:rsidR="00A050A7" w:rsidRPr="00A050A7" w14:paraId="7114BB5F" w14:textId="77777777">
        <w:trPr>
          <w:jc w:val="center"/>
        </w:trPr>
        <w:tc>
          <w:tcPr>
            <w:tcW w:w="0" w:type="auto"/>
            <w:shd w:val="clear" w:color="auto" w:fill="FFFFFF"/>
            <w:vAlign w:val="center"/>
            <w:hideMark/>
          </w:tcPr>
          <w:p w14:paraId="3DE14BCF" w14:textId="77777777" w:rsidR="00A050A7" w:rsidRPr="00A050A7" w:rsidRDefault="00A050A7" w:rsidP="00A050A7">
            <w:r w:rsidRPr="00A050A7">
              <w:t> </w:t>
            </w:r>
          </w:p>
        </w:tc>
        <w:tc>
          <w:tcPr>
            <w:tcW w:w="0" w:type="auto"/>
            <w:shd w:val="clear" w:color="auto" w:fill="FFFFFF"/>
            <w:vAlign w:val="center"/>
            <w:hideMark/>
          </w:tcPr>
          <w:p w14:paraId="07262B4E" w14:textId="77777777" w:rsidR="00A050A7" w:rsidRPr="00A050A7" w:rsidRDefault="00A050A7" w:rsidP="00A050A7">
            <w:r w:rsidRPr="00A050A7">
              <w:t xml:space="preserve">Welcome to the Center for California Real Estate's (CCRE) monthly marketing toolkit of slides, social posts and additional resources exploring consumer issues in residential real estate. </w:t>
            </w:r>
            <w:r w:rsidRPr="00A050A7">
              <w:rPr>
                <w:rFonts w:ascii="Arial" w:hAnsi="Arial" w:cs="Arial"/>
              </w:rPr>
              <w:t>​​​​</w:t>
            </w:r>
            <w:r w:rsidRPr="00A050A7">
              <w:t xml:space="preserve">Download </w:t>
            </w:r>
            <w:r w:rsidRPr="00A050A7">
              <w:rPr>
                <w:rFonts w:ascii="Arial" w:hAnsi="Arial" w:cs="Arial"/>
              </w:rPr>
              <w:t>​​​​</w:t>
            </w:r>
            <w:r w:rsidRPr="00A050A7">
              <w:t>these data-driven tools to enhance your marketing plans and spark conversations in your spheres of influence.</w:t>
            </w:r>
            <w:r w:rsidRPr="00A050A7">
              <w:br/>
            </w:r>
            <w:r w:rsidRPr="00A050A7">
              <w:br/>
            </w:r>
            <w:r w:rsidRPr="00A050A7">
              <w:rPr>
                <w:b/>
                <w:bCs/>
              </w:rPr>
              <w:t>Homebuyers are increasingly interested in sustainability features</w:t>
            </w:r>
            <w:r w:rsidRPr="00A050A7">
              <w:t xml:space="preserve">--especially those that result in cost savings, such as </w:t>
            </w:r>
            <w:proofErr w:type="spellStart"/>
            <w:r w:rsidRPr="00A050A7">
              <w:t>WaterSense</w:t>
            </w:r>
            <w:proofErr w:type="spellEnd"/>
            <w:r w:rsidRPr="00A050A7">
              <w:t xml:space="preserve"> fixtures, solar panels, and climate resilience efforts that may lower insurance premiums. </w:t>
            </w:r>
            <w:r w:rsidRPr="00A050A7">
              <w:br/>
            </w:r>
            <w:r w:rsidRPr="00A050A7">
              <w:br/>
              <w:t>As their REALTOR®, you can connect them to homes that can result in financial savings, better health and increased resilience amid extreme weather and natural disasters. For today's consumers, your ability to lead the sustainability conversation is a key component of your REALTOR® value. We’ve created this toolkit to help you become a trusted guide on sustainability and homeownership in 2025. </w:t>
            </w:r>
          </w:p>
        </w:tc>
        <w:tc>
          <w:tcPr>
            <w:tcW w:w="0" w:type="auto"/>
            <w:shd w:val="clear" w:color="auto" w:fill="FFFFFF"/>
            <w:vAlign w:val="center"/>
            <w:hideMark/>
          </w:tcPr>
          <w:p w14:paraId="5E58006A" w14:textId="77777777" w:rsidR="00A050A7" w:rsidRPr="00A050A7" w:rsidRDefault="00A050A7" w:rsidP="00A050A7">
            <w:r w:rsidRPr="00A050A7">
              <w:t> </w:t>
            </w:r>
          </w:p>
        </w:tc>
      </w:tr>
    </w:tbl>
    <w:p w14:paraId="436515AF" w14:textId="77777777" w:rsidR="00A050A7" w:rsidRPr="00A050A7" w:rsidRDefault="00A050A7" w:rsidP="00A050A7">
      <w:pPr>
        <w:rPr>
          <w:vanish/>
        </w:rPr>
      </w:pPr>
    </w:p>
    <w:tbl>
      <w:tblPr>
        <w:tblW w:w="9750" w:type="dxa"/>
        <w:jc w:val="center"/>
        <w:shd w:val="clear" w:color="auto" w:fill="FFFFFF"/>
        <w:tblCellMar>
          <w:left w:w="0" w:type="dxa"/>
          <w:right w:w="0" w:type="dxa"/>
        </w:tblCellMar>
        <w:tblLook w:val="04A0" w:firstRow="1" w:lastRow="0" w:firstColumn="1" w:lastColumn="0" w:noHBand="0" w:noVBand="1"/>
      </w:tblPr>
      <w:tblGrid>
        <w:gridCol w:w="10516"/>
      </w:tblGrid>
      <w:tr w:rsidR="00A050A7" w:rsidRPr="00A050A7" w14:paraId="3B7899E5" w14:textId="77777777">
        <w:trPr>
          <w:jc w:val="center"/>
        </w:trPr>
        <w:tc>
          <w:tcPr>
            <w:tcW w:w="0" w:type="auto"/>
            <w:shd w:val="clear" w:color="auto" w:fill="FFFFFF"/>
            <w:tcMar>
              <w:top w:w="300" w:type="dxa"/>
              <w:left w:w="990" w:type="dxa"/>
              <w:bottom w:w="300" w:type="dxa"/>
              <w:right w:w="990" w:type="dxa"/>
            </w:tcMar>
            <w:vAlign w:val="center"/>
            <w:hideMark/>
          </w:tcPr>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8520"/>
            </w:tblGrid>
            <w:tr w:rsidR="00A050A7" w:rsidRPr="00A050A7" w14:paraId="7D383E92" w14:textId="77777777">
              <w:trPr>
                <w:jc w:val="center"/>
              </w:trPr>
              <w:tc>
                <w:tcPr>
                  <w:tcW w:w="84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DC340" w14:textId="154689AF" w:rsidR="00A050A7" w:rsidRPr="00A050A7" w:rsidRDefault="00A050A7" w:rsidP="00A050A7">
                  <w:r w:rsidRPr="00A050A7">
                    <w:lastRenderedPageBreak/>
                    <w:drawing>
                      <wp:inline distT="0" distB="0" distL="0" distR="0" wp14:anchorId="2AFC4E07" wp14:editId="05123384">
                        <wp:extent cx="5384800" cy="2914650"/>
                        <wp:effectExtent l="0" t="0" r="6350" b="0"/>
                        <wp:docPr id="1428875591" name="Picture 28" descr="A green and black informational poster&#10;&#10;AI-generated content may be incorrect.">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75591" name="Picture 28" descr="A green and black informational poster&#10;&#10;AI-generated content may be incorrect.">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0" cy="2914650"/>
                                </a:xfrm>
                                <a:prstGeom prst="rect">
                                  <a:avLst/>
                                </a:prstGeom>
                                <a:noFill/>
                                <a:ln>
                                  <a:noFill/>
                                </a:ln>
                              </pic:spPr>
                            </pic:pic>
                          </a:graphicData>
                        </a:graphic>
                      </wp:inline>
                    </w:drawing>
                  </w:r>
                </w:p>
              </w:tc>
            </w:tr>
          </w:tbl>
          <w:p w14:paraId="71C55C73" w14:textId="77777777" w:rsidR="00A050A7" w:rsidRPr="00A050A7" w:rsidRDefault="00A050A7" w:rsidP="00A050A7"/>
        </w:tc>
      </w:tr>
    </w:tbl>
    <w:p w14:paraId="1CB4B23F" w14:textId="77777777" w:rsidR="00A050A7" w:rsidRPr="00A050A7" w:rsidRDefault="00A050A7" w:rsidP="00A050A7">
      <w:pPr>
        <w:rPr>
          <w:vanish/>
        </w:rPr>
      </w:pPr>
    </w:p>
    <w:tbl>
      <w:tblPr>
        <w:tblW w:w="9750" w:type="dxa"/>
        <w:jc w:val="center"/>
        <w:shd w:val="clear" w:color="auto" w:fill="FFFFFF"/>
        <w:tblCellMar>
          <w:left w:w="0" w:type="dxa"/>
          <w:right w:w="0" w:type="dxa"/>
        </w:tblCellMar>
        <w:tblLook w:val="04A0" w:firstRow="1" w:lastRow="0" w:firstColumn="1" w:lastColumn="0" w:noHBand="0" w:noVBand="1"/>
      </w:tblPr>
      <w:tblGrid>
        <w:gridCol w:w="637"/>
        <w:gridCol w:w="8475"/>
        <w:gridCol w:w="638"/>
      </w:tblGrid>
      <w:tr w:rsidR="00A050A7" w:rsidRPr="00A050A7" w14:paraId="31A785A1" w14:textId="77777777">
        <w:trPr>
          <w:jc w:val="center"/>
        </w:trPr>
        <w:tc>
          <w:tcPr>
            <w:tcW w:w="0" w:type="auto"/>
            <w:shd w:val="clear" w:color="auto" w:fill="FFFFFF"/>
            <w:vAlign w:val="center"/>
            <w:hideMark/>
          </w:tcPr>
          <w:p w14:paraId="5B26DC5F" w14:textId="77777777" w:rsidR="00A050A7" w:rsidRPr="00A050A7" w:rsidRDefault="00A050A7" w:rsidP="00A050A7">
            <w:r w:rsidRPr="00A050A7">
              <w:t> </w:t>
            </w:r>
          </w:p>
        </w:tc>
        <w:tc>
          <w:tcPr>
            <w:tcW w:w="8475" w:type="dxa"/>
            <w:shd w:val="clear" w:color="auto" w:fill="FFFFFF"/>
            <w:hideMark/>
          </w:tcPr>
          <w:p w14:paraId="7CE11F45" w14:textId="77777777" w:rsidR="00A050A7" w:rsidRPr="00A050A7" w:rsidRDefault="00A050A7" w:rsidP="00A050A7">
            <w:r w:rsidRPr="00A050A7">
              <w:rPr>
                <w:b/>
                <w:bCs/>
              </w:rPr>
              <w:t>SLIDE DECK</w:t>
            </w:r>
            <w:r w:rsidRPr="00A050A7">
              <w:t>: Homebuyers increasingly ask about sustainability features during their search, and homes with desirable sustainability features command higher sales prices.</w:t>
            </w:r>
          </w:p>
          <w:p w14:paraId="63799672" w14:textId="143D8B04" w:rsidR="00A050A7" w:rsidRPr="00A050A7" w:rsidRDefault="00A050A7" w:rsidP="00A050A7">
            <w:r w:rsidRPr="00A050A7">
              <w:t>Download and insert these slides into a listing presentation to help clients market their homes' features. View them as a slide show in your next office meeting to learn how to lead client conversations about sustainability.</w:t>
            </w:r>
            <w:r w:rsidRPr="00A050A7">
              <w:br/>
            </w:r>
            <w:hyperlink r:id="rId7" w:anchor="slide=id.g3aa43f69a6b_2_75" w:tgtFrame="_blank" w:history="1">
              <w:r w:rsidRPr="00A050A7">
                <w:rPr>
                  <w:rStyle w:val="Hyperlink"/>
                </w:rPr>
                <w:drawing>
                  <wp:anchor distT="0" distB="0" distL="0" distR="0" simplePos="0" relativeHeight="251659264" behindDoc="0" locked="0" layoutInCell="1" allowOverlap="0" wp14:anchorId="7F5E82F7" wp14:editId="31368949">
                    <wp:simplePos x="0" y="0"/>
                    <wp:positionH relativeFrom="column">
                      <wp:align>right</wp:align>
                    </wp:positionH>
                    <wp:positionV relativeFrom="line">
                      <wp:posOffset>0</wp:posOffset>
                    </wp:positionV>
                    <wp:extent cx="990826" cy="342978"/>
                    <wp:effectExtent l="0" t="0" r="0" b="0"/>
                    <wp:wrapSquare wrapText="bothSides"/>
                    <wp:docPr id="989427108" name="Picture 30" descr="Download">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a:hlinkClick r:id="rId5"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826" cy="342978"/>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c>
          <w:tcPr>
            <w:tcW w:w="0" w:type="auto"/>
            <w:shd w:val="clear" w:color="auto" w:fill="FFFFFF"/>
            <w:vAlign w:val="center"/>
            <w:hideMark/>
          </w:tcPr>
          <w:p w14:paraId="4A8D8155" w14:textId="77777777" w:rsidR="00A050A7" w:rsidRPr="00A050A7" w:rsidRDefault="00A050A7" w:rsidP="00A050A7">
            <w:r w:rsidRPr="00A050A7">
              <w:t> </w:t>
            </w:r>
          </w:p>
        </w:tc>
      </w:tr>
    </w:tbl>
    <w:p w14:paraId="02BE2C9C" w14:textId="77777777" w:rsidR="00A050A7" w:rsidRPr="00A050A7" w:rsidRDefault="00A050A7" w:rsidP="00A050A7">
      <w:r w:rsidRPr="00A050A7">
        <w:t>   </w:t>
      </w:r>
    </w:p>
    <w:tbl>
      <w:tblPr>
        <w:tblW w:w="9750" w:type="dxa"/>
        <w:jc w:val="center"/>
        <w:shd w:val="clear" w:color="auto" w:fill="FFFFFF"/>
        <w:tblCellMar>
          <w:left w:w="0" w:type="dxa"/>
          <w:right w:w="0" w:type="dxa"/>
        </w:tblCellMar>
        <w:tblLook w:val="04A0" w:firstRow="1" w:lastRow="0" w:firstColumn="1" w:lastColumn="0" w:noHBand="0" w:noVBand="1"/>
      </w:tblPr>
      <w:tblGrid>
        <w:gridCol w:w="422"/>
        <w:gridCol w:w="4065"/>
        <w:gridCol w:w="475"/>
        <w:gridCol w:w="4365"/>
        <w:gridCol w:w="423"/>
      </w:tblGrid>
      <w:tr w:rsidR="00A050A7" w:rsidRPr="00A050A7" w14:paraId="35C11EA9" w14:textId="77777777">
        <w:trPr>
          <w:jc w:val="center"/>
        </w:trPr>
        <w:tc>
          <w:tcPr>
            <w:tcW w:w="0" w:type="auto"/>
            <w:gridSpan w:val="5"/>
            <w:shd w:val="clear" w:color="auto" w:fill="FFFFFF"/>
            <w:vAlign w:val="center"/>
            <w:hideMark/>
          </w:tcPr>
          <w:p w14:paraId="54C21C36" w14:textId="77777777" w:rsidR="00A050A7" w:rsidRPr="00A050A7" w:rsidRDefault="00A050A7" w:rsidP="00A050A7">
            <w:r w:rsidRPr="00A050A7">
              <w:t> </w:t>
            </w:r>
          </w:p>
        </w:tc>
      </w:tr>
      <w:tr w:rsidR="00A050A7" w:rsidRPr="00A050A7" w14:paraId="615AF73C" w14:textId="77777777">
        <w:trPr>
          <w:jc w:val="center"/>
        </w:trPr>
        <w:tc>
          <w:tcPr>
            <w:tcW w:w="0" w:type="auto"/>
            <w:shd w:val="clear" w:color="auto" w:fill="FFFFFF"/>
            <w:vAlign w:val="center"/>
            <w:hideMark/>
          </w:tcPr>
          <w:p w14:paraId="4CC1F81C" w14:textId="77777777" w:rsidR="00A050A7" w:rsidRPr="00A050A7" w:rsidRDefault="00A050A7" w:rsidP="00A050A7">
            <w:r w:rsidRPr="00A050A7">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582549" w14:textId="73C28C49" w:rsidR="00A050A7" w:rsidRPr="00A050A7" w:rsidRDefault="00A050A7" w:rsidP="00A050A7">
            <w:r w:rsidRPr="00A050A7">
              <w:drawing>
                <wp:inline distT="0" distB="0" distL="0" distR="0" wp14:anchorId="2C4A2FB8" wp14:editId="1696F74B">
                  <wp:extent cx="2571750" cy="2063750"/>
                  <wp:effectExtent l="0" t="0" r="0" b="0"/>
                  <wp:docPr id="1065936896" name="Picture 27" descr="A green and white poster with text&#10;&#10;AI-generated content may be incorrect.">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936896" name="Picture 27" descr="A green and white poster with text&#10;&#10;AI-generated content may be incorrect.">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2063750"/>
                          </a:xfrm>
                          <a:prstGeom prst="rect">
                            <a:avLst/>
                          </a:prstGeom>
                          <a:noFill/>
                          <a:ln>
                            <a:noFill/>
                          </a:ln>
                        </pic:spPr>
                      </pic:pic>
                    </a:graphicData>
                  </a:graphic>
                </wp:inline>
              </w:drawing>
            </w:r>
          </w:p>
        </w:tc>
        <w:tc>
          <w:tcPr>
            <w:tcW w:w="0" w:type="auto"/>
            <w:shd w:val="clear" w:color="auto" w:fill="FFFFFF"/>
            <w:vAlign w:val="center"/>
            <w:hideMark/>
          </w:tcPr>
          <w:p w14:paraId="789B368F" w14:textId="77777777" w:rsidR="00A050A7" w:rsidRPr="00A050A7" w:rsidRDefault="00A050A7" w:rsidP="00A050A7">
            <w:r w:rsidRPr="00A050A7">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vAlign w:val="center"/>
            <w:hideMark/>
          </w:tcPr>
          <w:p w14:paraId="7589125E" w14:textId="0EC108F7" w:rsidR="00A050A7" w:rsidRPr="00A050A7" w:rsidRDefault="00A050A7" w:rsidP="00A050A7">
            <w:r w:rsidRPr="00A050A7">
              <w:rPr>
                <w:b/>
                <w:bCs/>
              </w:rPr>
              <w:t>SOCIAL MEDIA POSTS: </w:t>
            </w:r>
            <w:r w:rsidRPr="00A050A7">
              <w:t>Download and share these social posts to attract clients motivated by sustainability features. </w:t>
            </w:r>
            <w:r w:rsidRPr="00A050A7">
              <w:br/>
            </w:r>
            <w:r w:rsidRPr="00A050A7">
              <w:br/>
            </w:r>
            <w:r w:rsidRPr="00A050A7">
              <w:drawing>
                <wp:inline distT="0" distB="0" distL="0" distR="0" wp14:anchorId="35158321" wp14:editId="73408F29">
                  <wp:extent cx="742950" cy="260350"/>
                  <wp:effectExtent l="0" t="0" r="0" b="6350"/>
                  <wp:docPr id="1664865236" name="Picture 26" descr="Download">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Download">
                            <a:hlinkClick r:id="rId9"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260350"/>
                          </a:xfrm>
                          <a:prstGeom prst="rect">
                            <a:avLst/>
                          </a:prstGeom>
                          <a:noFill/>
                          <a:ln>
                            <a:noFill/>
                          </a:ln>
                        </pic:spPr>
                      </pic:pic>
                    </a:graphicData>
                  </a:graphic>
                </wp:inline>
              </w:drawing>
            </w:r>
          </w:p>
        </w:tc>
        <w:tc>
          <w:tcPr>
            <w:tcW w:w="0" w:type="auto"/>
            <w:shd w:val="clear" w:color="auto" w:fill="FFFFFF"/>
            <w:vAlign w:val="center"/>
            <w:hideMark/>
          </w:tcPr>
          <w:p w14:paraId="26929B42" w14:textId="77777777" w:rsidR="00A050A7" w:rsidRPr="00A050A7" w:rsidRDefault="00A050A7" w:rsidP="00A050A7">
            <w:r w:rsidRPr="00A050A7">
              <w:t> </w:t>
            </w:r>
          </w:p>
        </w:tc>
      </w:tr>
      <w:tr w:rsidR="00A050A7" w:rsidRPr="00A050A7" w14:paraId="68AA3C5F" w14:textId="77777777">
        <w:trPr>
          <w:jc w:val="center"/>
        </w:trPr>
        <w:tc>
          <w:tcPr>
            <w:tcW w:w="0" w:type="auto"/>
            <w:shd w:val="clear" w:color="auto" w:fill="FFFFFF"/>
            <w:vAlign w:val="center"/>
            <w:hideMark/>
          </w:tcPr>
          <w:p w14:paraId="79CBA4D7" w14:textId="77777777" w:rsidR="00A050A7" w:rsidRPr="00A050A7" w:rsidRDefault="00A050A7" w:rsidP="00A050A7">
            <w:r w:rsidRPr="00A050A7">
              <w:lastRenderedPageBreak/>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vAlign w:val="center"/>
            <w:hideMark/>
          </w:tcPr>
          <w:p w14:paraId="147FC977" w14:textId="055EE467" w:rsidR="00A050A7" w:rsidRPr="00A050A7" w:rsidRDefault="00A050A7" w:rsidP="00A050A7">
            <w:r w:rsidRPr="00A050A7">
              <w:br/>
            </w:r>
            <w:r w:rsidRPr="00A050A7">
              <w:rPr>
                <w:b/>
                <w:bCs/>
              </w:rPr>
              <w:t>CONSUMER GUIDE:</w:t>
            </w:r>
            <w:r w:rsidRPr="00A050A7">
              <w:br/>
              <w:t>Share </w:t>
            </w:r>
            <w:r w:rsidRPr="00A050A7">
              <w:rPr>
                <w:b/>
                <w:bCs/>
              </w:rPr>
              <w:t>The Green Home Essentials: 5 Sustainability Metrics Every Homebuyer Must Know</w:t>
            </w:r>
            <w:r w:rsidRPr="00A050A7">
              <w:t>.</w:t>
            </w:r>
            <w:r w:rsidRPr="00A050A7">
              <w:br/>
            </w:r>
            <w:r w:rsidRPr="00A050A7">
              <w:br/>
            </w:r>
            <w:r w:rsidRPr="00A050A7">
              <w:drawing>
                <wp:inline distT="0" distB="0" distL="0" distR="0" wp14:anchorId="1554684D" wp14:editId="2BA8CA1F">
                  <wp:extent cx="742950" cy="260350"/>
                  <wp:effectExtent l="0" t="0" r="0" b="6350"/>
                  <wp:docPr id="750504302" name="Picture 25" descr="Download">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Download">
                            <a:hlinkClick r:id="rId11"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260350"/>
                          </a:xfrm>
                          <a:prstGeom prst="rect">
                            <a:avLst/>
                          </a:prstGeom>
                          <a:noFill/>
                          <a:ln>
                            <a:noFill/>
                          </a:ln>
                        </pic:spPr>
                      </pic:pic>
                    </a:graphicData>
                  </a:graphic>
                </wp:inline>
              </w:drawing>
            </w:r>
          </w:p>
        </w:tc>
        <w:tc>
          <w:tcPr>
            <w:tcW w:w="0" w:type="auto"/>
            <w:shd w:val="clear" w:color="auto" w:fill="FFFFFF"/>
            <w:vAlign w:val="center"/>
            <w:hideMark/>
          </w:tcPr>
          <w:p w14:paraId="0560895D" w14:textId="77777777" w:rsidR="00A050A7" w:rsidRPr="00A050A7" w:rsidRDefault="00A050A7" w:rsidP="00A050A7">
            <w:r w:rsidRPr="00A050A7">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8271ED" w14:textId="66F045D3" w:rsidR="00A050A7" w:rsidRPr="00A050A7" w:rsidRDefault="00A050A7" w:rsidP="00A050A7">
            <w:r w:rsidRPr="00A050A7">
              <w:drawing>
                <wp:inline distT="0" distB="0" distL="0" distR="0" wp14:anchorId="6232073F" wp14:editId="75742DE9">
                  <wp:extent cx="2762250" cy="2063750"/>
                  <wp:effectExtent l="0" t="0" r="0" b="0"/>
                  <wp:docPr id="1630797886" name="Picture 24" descr="A green and orange text&#10;&#10;AI-generated content may be incorrect.">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797886" name="Picture 24" descr="A green and orange text&#10;&#10;AI-generated content may be incorrect.">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0" cy="2063750"/>
                          </a:xfrm>
                          <a:prstGeom prst="rect">
                            <a:avLst/>
                          </a:prstGeom>
                          <a:noFill/>
                          <a:ln>
                            <a:noFill/>
                          </a:ln>
                        </pic:spPr>
                      </pic:pic>
                    </a:graphicData>
                  </a:graphic>
                </wp:inline>
              </w:drawing>
            </w:r>
          </w:p>
        </w:tc>
        <w:tc>
          <w:tcPr>
            <w:tcW w:w="0" w:type="auto"/>
            <w:shd w:val="clear" w:color="auto" w:fill="FFFFFF"/>
            <w:vAlign w:val="center"/>
            <w:hideMark/>
          </w:tcPr>
          <w:p w14:paraId="1E597355" w14:textId="77777777" w:rsidR="00A050A7" w:rsidRPr="00A050A7" w:rsidRDefault="00A050A7" w:rsidP="00A050A7">
            <w:r w:rsidRPr="00A050A7">
              <w:t> </w:t>
            </w:r>
          </w:p>
        </w:tc>
      </w:tr>
      <w:tr w:rsidR="00A050A7" w:rsidRPr="00A050A7" w14:paraId="2E21AA8F" w14:textId="77777777">
        <w:trPr>
          <w:jc w:val="center"/>
        </w:trPr>
        <w:tc>
          <w:tcPr>
            <w:tcW w:w="0" w:type="auto"/>
            <w:shd w:val="clear" w:color="auto" w:fill="FFFFFF"/>
            <w:vAlign w:val="center"/>
            <w:hideMark/>
          </w:tcPr>
          <w:p w14:paraId="65DB0710" w14:textId="77777777" w:rsidR="00A050A7" w:rsidRPr="00A050A7" w:rsidRDefault="00A050A7" w:rsidP="00A050A7">
            <w:r w:rsidRPr="00A050A7">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AAE900" w14:textId="7660D88C" w:rsidR="00A050A7" w:rsidRPr="00A050A7" w:rsidRDefault="00A050A7" w:rsidP="00A050A7">
            <w:r w:rsidRPr="00A050A7">
              <w:drawing>
                <wp:inline distT="0" distB="0" distL="0" distR="0" wp14:anchorId="344CDB59" wp14:editId="4D4F476E">
                  <wp:extent cx="2571750" cy="1835150"/>
                  <wp:effectExtent l="0" t="0" r="0" b="0"/>
                  <wp:docPr id="387568547" name="Picture 23" descr="A close-up of a white background&#10;&#10;AI-generated content may be incorrect.">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68547" name="Picture 23" descr="A close-up of a white background&#10;&#10;AI-generated content may be incorrect.">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0" cy="1835150"/>
                          </a:xfrm>
                          <a:prstGeom prst="rect">
                            <a:avLst/>
                          </a:prstGeom>
                          <a:noFill/>
                          <a:ln>
                            <a:noFill/>
                          </a:ln>
                        </pic:spPr>
                      </pic:pic>
                    </a:graphicData>
                  </a:graphic>
                </wp:inline>
              </w:drawing>
            </w:r>
          </w:p>
        </w:tc>
        <w:tc>
          <w:tcPr>
            <w:tcW w:w="0" w:type="auto"/>
            <w:shd w:val="clear" w:color="auto" w:fill="FFFFFF"/>
            <w:vAlign w:val="center"/>
            <w:hideMark/>
          </w:tcPr>
          <w:p w14:paraId="1DB965F7" w14:textId="77777777" w:rsidR="00A050A7" w:rsidRPr="00A050A7" w:rsidRDefault="00A050A7" w:rsidP="00A050A7">
            <w:r w:rsidRPr="00A050A7">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vAlign w:val="center"/>
            <w:hideMark/>
          </w:tcPr>
          <w:p w14:paraId="6C897AB6" w14:textId="1AFA0EC2" w:rsidR="00A050A7" w:rsidRPr="00A050A7" w:rsidRDefault="00A050A7" w:rsidP="00A050A7">
            <w:r w:rsidRPr="00A050A7">
              <w:rPr>
                <w:b/>
                <w:bCs/>
              </w:rPr>
              <w:t>CONSUMER VIDEO: </w:t>
            </w:r>
            <w:r w:rsidRPr="00A050A7">
              <w:rPr>
                <w:rFonts w:ascii="Arial" w:hAnsi="Arial" w:cs="Arial"/>
              </w:rPr>
              <w:t>​​​</w:t>
            </w:r>
            <w:r w:rsidRPr="00A050A7">
              <w:br/>
              <w:t>Share this two-minute video version of </w:t>
            </w:r>
            <w:r w:rsidRPr="00A050A7">
              <w:rPr>
                <w:b/>
                <w:bCs/>
              </w:rPr>
              <w:t>The Green Home Essentials: 5 Sustainability Metrics Every Homebuyer Must Know</w:t>
            </w:r>
            <w:r w:rsidRPr="00A050A7">
              <w:t>.</w:t>
            </w:r>
            <w:r w:rsidRPr="00A050A7">
              <w:br/>
            </w:r>
            <w:r w:rsidRPr="00A050A7">
              <w:br/>
            </w:r>
            <w:r w:rsidRPr="00A050A7">
              <w:drawing>
                <wp:inline distT="0" distB="0" distL="0" distR="0" wp14:anchorId="0387A88C" wp14:editId="2C0A1CA7">
                  <wp:extent cx="742950" cy="260350"/>
                  <wp:effectExtent l="0" t="0" r="0" b="6350"/>
                  <wp:docPr id="1045498027" name="Picture 22" descr="Download">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ownload">
                            <a:hlinkClick r:id="rId14"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260350"/>
                          </a:xfrm>
                          <a:prstGeom prst="rect">
                            <a:avLst/>
                          </a:prstGeom>
                          <a:noFill/>
                          <a:ln>
                            <a:noFill/>
                          </a:ln>
                        </pic:spPr>
                      </pic:pic>
                    </a:graphicData>
                  </a:graphic>
                </wp:inline>
              </w:drawing>
            </w:r>
          </w:p>
        </w:tc>
        <w:tc>
          <w:tcPr>
            <w:tcW w:w="0" w:type="auto"/>
            <w:shd w:val="clear" w:color="auto" w:fill="FFFFFF"/>
            <w:vAlign w:val="center"/>
            <w:hideMark/>
          </w:tcPr>
          <w:p w14:paraId="71358AFB" w14:textId="77777777" w:rsidR="00A050A7" w:rsidRPr="00A050A7" w:rsidRDefault="00A050A7" w:rsidP="00A050A7">
            <w:r w:rsidRPr="00A050A7">
              <w:t> </w:t>
            </w:r>
          </w:p>
        </w:tc>
      </w:tr>
      <w:tr w:rsidR="00A050A7" w:rsidRPr="00A050A7" w14:paraId="7208CADE" w14:textId="77777777">
        <w:trPr>
          <w:jc w:val="center"/>
        </w:trPr>
        <w:tc>
          <w:tcPr>
            <w:tcW w:w="0" w:type="auto"/>
            <w:gridSpan w:val="5"/>
            <w:shd w:val="clear" w:color="auto" w:fill="FFFFFF"/>
            <w:vAlign w:val="center"/>
            <w:hideMark/>
          </w:tcPr>
          <w:p w14:paraId="5C98EEAA" w14:textId="77777777" w:rsidR="00A050A7" w:rsidRPr="00A050A7" w:rsidRDefault="00A050A7" w:rsidP="00A050A7">
            <w:r w:rsidRPr="00A050A7">
              <w:t> </w:t>
            </w:r>
          </w:p>
        </w:tc>
      </w:tr>
    </w:tbl>
    <w:p w14:paraId="565BA20E" w14:textId="77777777" w:rsidR="00A050A7" w:rsidRPr="00A050A7" w:rsidRDefault="00A050A7" w:rsidP="00A050A7">
      <w:pPr>
        <w:rPr>
          <w:vanish/>
        </w:rPr>
      </w:pPr>
    </w:p>
    <w:tbl>
      <w:tblPr>
        <w:tblW w:w="9750" w:type="dxa"/>
        <w:jc w:val="center"/>
        <w:shd w:val="clear" w:color="auto" w:fill="FFFFFF"/>
        <w:tblCellMar>
          <w:left w:w="0" w:type="dxa"/>
          <w:right w:w="0" w:type="dxa"/>
        </w:tblCellMar>
        <w:tblLook w:val="04A0" w:firstRow="1" w:lastRow="0" w:firstColumn="1" w:lastColumn="0" w:noHBand="0" w:noVBand="1"/>
      </w:tblPr>
      <w:tblGrid>
        <w:gridCol w:w="49"/>
        <w:gridCol w:w="510"/>
        <w:gridCol w:w="49"/>
        <w:gridCol w:w="9093"/>
        <w:gridCol w:w="49"/>
      </w:tblGrid>
      <w:tr w:rsidR="00A050A7" w:rsidRPr="00A050A7" w14:paraId="149FB557" w14:textId="77777777">
        <w:trPr>
          <w:jc w:val="center"/>
        </w:trPr>
        <w:tc>
          <w:tcPr>
            <w:tcW w:w="0" w:type="auto"/>
            <w:shd w:val="clear" w:color="auto" w:fill="FFFFFF"/>
            <w:vAlign w:val="center"/>
            <w:hideMark/>
          </w:tcPr>
          <w:p w14:paraId="1464D339" w14:textId="77777777" w:rsidR="00A050A7" w:rsidRPr="00A050A7" w:rsidRDefault="00A050A7" w:rsidP="00A050A7">
            <w:r w:rsidRPr="00A050A7">
              <w:t> </w:t>
            </w:r>
          </w:p>
        </w:tc>
        <w:tc>
          <w:tcPr>
            <w:tcW w:w="0" w:type="auto"/>
            <w:gridSpan w:val="3"/>
            <w:shd w:val="clear" w:color="auto" w:fill="FFFFFF"/>
            <w:vAlign w:val="center"/>
            <w:hideMark/>
          </w:tcPr>
          <w:p w14:paraId="7B07E6E7" w14:textId="77777777" w:rsidR="00A050A7" w:rsidRPr="00A050A7" w:rsidRDefault="00A050A7" w:rsidP="00A050A7">
            <w:r w:rsidRPr="00A050A7">
              <w:br/>
            </w:r>
            <w:r w:rsidRPr="00A050A7">
              <w:rPr>
                <w:b/>
                <w:bCs/>
              </w:rPr>
              <w:t>TOP 5 TAKEAWAYS:</w:t>
            </w:r>
            <w:r w:rsidRPr="00A050A7">
              <w:t> Consider these key points as you navigate clients' sustainability needs. </w:t>
            </w:r>
            <w:r w:rsidRPr="00A050A7">
              <w:br/>
              <w:t> </w:t>
            </w:r>
          </w:p>
        </w:tc>
        <w:tc>
          <w:tcPr>
            <w:tcW w:w="0" w:type="auto"/>
            <w:shd w:val="clear" w:color="auto" w:fill="FFFFFF"/>
            <w:vAlign w:val="center"/>
            <w:hideMark/>
          </w:tcPr>
          <w:p w14:paraId="79322AC5" w14:textId="77777777" w:rsidR="00A050A7" w:rsidRPr="00A050A7" w:rsidRDefault="00A050A7" w:rsidP="00A050A7">
            <w:r w:rsidRPr="00A050A7">
              <w:t> </w:t>
            </w:r>
          </w:p>
        </w:tc>
      </w:tr>
      <w:tr w:rsidR="00A050A7" w:rsidRPr="00A050A7" w14:paraId="37D2A149" w14:textId="77777777">
        <w:trPr>
          <w:jc w:val="center"/>
        </w:trPr>
        <w:tc>
          <w:tcPr>
            <w:tcW w:w="0" w:type="auto"/>
            <w:shd w:val="clear" w:color="auto" w:fill="FFFFFF"/>
            <w:vAlign w:val="center"/>
            <w:hideMark/>
          </w:tcPr>
          <w:p w14:paraId="4DFC8220" w14:textId="77777777" w:rsidR="00A050A7" w:rsidRPr="00A050A7" w:rsidRDefault="00A050A7" w:rsidP="00A050A7">
            <w:r w:rsidRPr="00A050A7">
              <w:t> </w:t>
            </w:r>
          </w:p>
        </w:tc>
        <w:tc>
          <w:tcPr>
            <w:tcW w:w="0" w:type="auto"/>
            <w:shd w:val="clear" w:color="auto" w:fill="FFFFFF"/>
            <w:tcMar>
              <w:top w:w="150" w:type="dxa"/>
              <w:left w:w="0" w:type="dxa"/>
              <w:bottom w:w="150" w:type="dxa"/>
              <w:right w:w="0" w:type="dxa"/>
            </w:tcMar>
            <w:vAlign w:val="center"/>
            <w:hideMark/>
          </w:tcPr>
          <w:p w14:paraId="6B18F651" w14:textId="41BF844C" w:rsidR="00A050A7" w:rsidRPr="00A050A7" w:rsidRDefault="00A050A7" w:rsidP="00A050A7">
            <w:r w:rsidRPr="00A050A7">
              <w:drawing>
                <wp:inline distT="0" distB="0" distL="0" distR="0" wp14:anchorId="0659B3B7" wp14:editId="615CD761">
                  <wp:extent cx="323850" cy="323850"/>
                  <wp:effectExtent l="0" t="0" r="0" b="0"/>
                  <wp:docPr id="476188317" name="Picture 21" descr="Numb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Number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0" w:type="auto"/>
            <w:shd w:val="clear" w:color="auto" w:fill="FFFFFF"/>
            <w:vAlign w:val="center"/>
            <w:hideMark/>
          </w:tcPr>
          <w:p w14:paraId="37AE6275" w14:textId="77777777" w:rsidR="00A050A7" w:rsidRPr="00A050A7" w:rsidRDefault="00A050A7" w:rsidP="00A050A7">
            <w:r w:rsidRPr="00A050A7">
              <w:t> </w:t>
            </w:r>
          </w:p>
        </w:tc>
        <w:tc>
          <w:tcPr>
            <w:tcW w:w="0" w:type="auto"/>
            <w:shd w:val="clear" w:color="auto" w:fill="FFFFFF"/>
            <w:vAlign w:val="center"/>
            <w:hideMark/>
          </w:tcPr>
          <w:p w14:paraId="38040509" w14:textId="77777777" w:rsidR="00A050A7" w:rsidRPr="00A050A7" w:rsidRDefault="00A050A7" w:rsidP="00A050A7">
            <w:r w:rsidRPr="00A050A7">
              <w:t xml:space="preserve">The majority (70%) of prospective homebuyers consider sustainability features, such as solar panels and </w:t>
            </w:r>
            <w:proofErr w:type="spellStart"/>
            <w:r w:rsidRPr="00A050A7">
              <w:t>WaterSense</w:t>
            </w:r>
            <w:proofErr w:type="spellEnd"/>
            <w:r w:rsidRPr="00A050A7">
              <w:t xml:space="preserve"> fixtures, when buying a home.</w:t>
            </w:r>
          </w:p>
        </w:tc>
        <w:tc>
          <w:tcPr>
            <w:tcW w:w="0" w:type="auto"/>
            <w:shd w:val="clear" w:color="auto" w:fill="FFFFFF"/>
            <w:vAlign w:val="center"/>
            <w:hideMark/>
          </w:tcPr>
          <w:p w14:paraId="0D41FEA4" w14:textId="77777777" w:rsidR="00A050A7" w:rsidRPr="00A050A7" w:rsidRDefault="00A050A7" w:rsidP="00A050A7">
            <w:r w:rsidRPr="00A050A7">
              <w:t> </w:t>
            </w:r>
          </w:p>
        </w:tc>
      </w:tr>
      <w:tr w:rsidR="00A050A7" w:rsidRPr="00A050A7" w14:paraId="4EB3AC19" w14:textId="77777777">
        <w:trPr>
          <w:jc w:val="center"/>
        </w:trPr>
        <w:tc>
          <w:tcPr>
            <w:tcW w:w="0" w:type="auto"/>
            <w:shd w:val="clear" w:color="auto" w:fill="FFFFFF"/>
            <w:vAlign w:val="center"/>
            <w:hideMark/>
          </w:tcPr>
          <w:p w14:paraId="268240D7" w14:textId="77777777" w:rsidR="00A050A7" w:rsidRPr="00A050A7" w:rsidRDefault="00A050A7" w:rsidP="00A050A7">
            <w:r w:rsidRPr="00A050A7">
              <w:t> </w:t>
            </w:r>
          </w:p>
        </w:tc>
        <w:tc>
          <w:tcPr>
            <w:tcW w:w="0" w:type="auto"/>
            <w:shd w:val="clear" w:color="auto" w:fill="FFFFFF"/>
            <w:tcMar>
              <w:top w:w="150" w:type="dxa"/>
              <w:left w:w="0" w:type="dxa"/>
              <w:bottom w:w="150" w:type="dxa"/>
              <w:right w:w="0" w:type="dxa"/>
            </w:tcMar>
            <w:vAlign w:val="center"/>
            <w:hideMark/>
          </w:tcPr>
          <w:p w14:paraId="6DFE5158" w14:textId="0472F3CE" w:rsidR="00A050A7" w:rsidRPr="00A050A7" w:rsidRDefault="00A050A7" w:rsidP="00A050A7">
            <w:r w:rsidRPr="00A050A7">
              <w:drawing>
                <wp:inline distT="0" distB="0" distL="0" distR="0" wp14:anchorId="3A503771" wp14:editId="30BAAC5B">
                  <wp:extent cx="323850" cy="323850"/>
                  <wp:effectExtent l="0" t="0" r="0" b="0"/>
                  <wp:docPr id="33981107" name="Picture 20" descr="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Number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0" w:type="auto"/>
            <w:shd w:val="clear" w:color="auto" w:fill="FFFFFF"/>
            <w:vAlign w:val="center"/>
            <w:hideMark/>
          </w:tcPr>
          <w:p w14:paraId="5083839F" w14:textId="77777777" w:rsidR="00A050A7" w:rsidRPr="00A050A7" w:rsidRDefault="00A050A7" w:rsidP="00A050A7">
            <w:r w:rsidRPr="00A050A7">
              <w:t> </w:t>
            </w:r>
          </w:p>
        </w:tc>
        <w:tc>
          <w:tcPr>
            <w:tcW w:w="0" w:type="auto"/>
            <w:shd w:val="clear" w:color="auto" w:fill="FFFFFF"/>
            <w:vAlign w:val="center"/>
            <w:hideMark/>
          </w:tcPr>
          <w:p w14:paraId="605D3EE8" w14:textId="77777777" w:rsidR="00A050A7" w:rsidRPr="00A050A7" w:rsidRDefault="00A050A7" w:rsidP="00A050A7">
            <w:r w:rsidRPr="00A050A7">
              <w:t>Once the priorities of affluent buyers, sustainability features are now seen as keys to cost savings</w:t>
            </w:r>
            <w:r w:rsidRPr="00A050A7">
              <w:rPr>
                <w:rFonts w:ascii="Arial" w:hAnsi="Arial" w:cs="Arial"/>
              </w:rPr>
              <w:t>​</w:t>
            </w:r>
            <w:r w:rsidRPr="00A050A7">
              <w:t>. Thirty percent (30%) of REALTORS</w:t>
            </w:r>
            <w:r w:rsidRPr="00A050A7">
              <w:rPr>
                <w:rFonts w:ascii="Aptos" w:hAnsi="Aptos" w:cs="Aptos"/>
              </w:rPr>
              <w:t>®</w:t>
            </w:r>
            <w:r w:rsidRPr="00A050A7">
              <w:t xml:space="preserve"> say consumer awareness of energy cost savings is a key driver for sustainable-home demand.</w:t>
            </w:r>
            <w:r w:rsidRPr="00A050A7">
              <w:rPr>
                <w:rFonts w:ascii="Aptos" w:hAnsi="Aptos" w:cs="Aptos"/>
              </w:rPr>
              <w:t> </w:t>
            </w:r>
          </w:p>
        </w:tc>
        <w:tc>
          <w:tcPr>
            <w:tcW w:w="0" w:type="auto"/>
            <w:shd w:val="clear" w:color="auto" w:fill="FFFFFF"/>
            <w:vAlign w:val="center"/>
            <w:hideMark/>
          </w:tcPr>
          <w:p w14:paraId="74432371" w14:textId="77777777" w:rsidR="00A050A7" w:rsidRPr="00A050A7" w:rsidRDefault="00A050A7" w:rsidP="00A050A7">
            <w:r w:rsidRPr="00A050A7">
              <w:t> </w:t>
            </w:r>
          </w:p>
        </w:tc>
      </w:tr>
      <w:tr w:rsidR="00A050A7" w:rsidRPr="00A050A7" w14:paraId="46F0E38C" w14:textId="77777777">
        <w:trPr>
          <w:jc w:val="center"/>
        </w:trPr>
        <w:tc>
          <w:tcPr>
            <w:tcW w:w="0" w:type="auto"/>
            <w:shd w:val="clear" w:color="auto" w:fill="FFFFFF"/>
            <w:vAlign w:val="center"/>
            <w:hideMark/>
          </w:tcPr>
          <w:p w14:paraId="5DDE1345" w14:textId="77777777" w:rsidR="00A050A7" w:rsidRPr="00A050A7" w:rsidRDefault="00A050A7" w:rsidP="00A050A7">
            <w:r w:rsidRPr="00A050A7">
              <w:t> </w:t>
            </w:r>
          </w:p>
        </w:tc>
        <w:tc>
          <w:tcPr>
            <w:tcW w:w="0" w:type="auto"/>
            <w:shd w:val="clear" w:color="auto" w:fill="FFFFFF"/>
            <w:tcMar>
              <w:top w:w="150" w:type="dxa"/>
              <w:left w:w="0" w:type="dxa"/>
              <w:bottom w:w="150" w:type="dxa"/>
              <w:right w:w="0" w:type="dxa"/>
            </w:tcMar>
            <w:vAlign w:val="center"/>
            <w:hideMark/>
          </w:tcPr>
          <w:p w14:paraId="2B963641" w14:textId="05EC53E5" w:rsidR="00A050A7" w:rsidRPr="00A050A7" w:rsidRDefault="00A050A7" w:rsidP="00A050A7">
            <w:r w:rsidRPr="00A050A7">
              <w:drawing>
                <wp:inline distT="0" distB="0" distL="0" distR="0" wp14:anchorId="326BBA3A" wp14:editId="4418C938">
                  <wp:extent cx="323850" cy="336550"/>
                  <wp:effectExtent l="0" t="0" r="0" b="6350"/>
                  <wp:docPr id="3959347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 cy="336550"/>
                          </a:xfrm>
                          <a:prstGeom prst="rect">
                            <a:avLst/>
                          </a:prstGeom>
                          <a:noFill/>
                          <a:ln>
                            <a:noFill/>
                          </a:ln>
                        </pic:spPr>
                      </pic:pic>
                    </a:graphicData>
                  </a:graphic>
                </wp:inline>
              </w:drawing>
            </w:r>
          </w:p>
        </w:tc>
        <w:tc>
          <w:tcPr>
            <w:tcW w:w="0" w:type="auto"/>
            <w:shd w:val="clear" w:color="auto" w:fill="FFFFFF"/>
            <w:vAlign w:val="center"/>
            <w:hideMark/>
          </w:tcPr>
          <w:p w14:paraId="3CAC1C94" w14:textId="77777777" w:rsidR="00A050A7" w:rsidRPr="00A050A7" w:rsidRDefault="00A050A7" w:rsidP="00A050A7">
            <w:r w:rsidRPr="00A050A7">
              <w:t> </w:t>
            </w:r>
          </w:p>
        </w:tc>
        <w:tc>
          <w:tcPr>
            <w:tcW w:w="0" w:type="auto"/>
            <w:shd w:val="clear" w:color="auto" w:fill="FFFFFF"/>
            <w:vAlign w:val="center"/>
            <w:hideMark/>
          </w:tcPr>
          <w:p w14:paraId="31D11FC0" w14:textId="77777777" w:rsidR="00A050A7" w:rsidRPr="00A050A7" w:rsidRDefault="00A050A7" w:rsidP="00A050A7">
            <w:r w:rsidRPr="00A050A7">
              <w:t>The financial impact of severe weather weighs on clients’ minds. Seventy-three percent (73%) of homebuyers consider the importance of purchasing in areas with lower severe weather risks.</w:t>
            </w:r>
            <w:r w:rsidRPr="00A050A7">
              <w:rPr>
                <w:rFonts w:ascii="Arial" w:hAnsi="Arial" w:cs="Arial"/>
              </w:rPr>
              <w:t>​</w:t>
            </w:r>
            <w:r w:rsidRPr="00A050A7">
              <w:rPr>
                <w:rFonts w:ascii="Aptos" w:hAnsi="Aptos" w:cs="Aptos"/>
              </w:rPr>
              <w:t> </w:t>
            </w:r>
          </w:p>
        </w:tc>
        <w:tc>
          <w:tcPr>
            <w:tcW w:w="0" w:type="auto"/>
            <w:shd w:val="clear" w:color="auto" w:fill="FFFFFF"/>
            <w:vAlign w:val="center"/>
            <w:hideMark/>
          </w:tcPr>
          <w:p w14:paraId="3EBBD541" w14:textId="77777777" w:rsidR="00A050A7" w:rsidRPr="00A050A7" w:rsidRDefault="00A050A7" w:rsidP="00A050A7">
            <w:r w:rsidRPr="00A050A7">
              <w:t> </w:t>
            </w:r>
          </w:p>
        </w:tc>
      </w:tr>
      <w:tr w:rsidR="00A050A7" w:rsidRPr="00A050A7" w14:paraId="43E0208E" w14:textId="77777777">
        <w:trPr>
          <w:jc w:val="center"/>
        </w:trPr>
        <w:tc>
          <w:tcPr>
            <w:tcW w:w="0" w:type="auto"/>
            <w:shd w:val="clear" w:color="auto" w:fill="FFFFFF"/>
            <w:vAlign w:val="center"/>
            <w:hideMark/>
          </w:tcPr>
          <w:p w14:paraId="22564FE6" w14:textId="77777777" w:rsidR="00A050A7" w:rsidRPr="00A050A7" w:rsidRDefault="00A050A7" w:rsidP="00A050A7">
            <w:r w:rsidRPr="00A050A7">
              <w:lastRenderedPageBreak/>
              <w:t> </w:t>
            </w:r>
          </w:p>
        </w:tc>
        <w:tc>
          <w:tcPr>
            <w:tcW w:w="0" w:type="auto"/>
            <w:shd w:val="clear" w:color="auto" w:fill="FFFFFF"/>
            <w:tcMar>
              <w:top w:w="150" w:type="dxa"/>
              <w:left w:w="0" w:type="dxa"/>
              <w:bottom w:w="150" w:type="dxa"/>
              <w:right w:w="0" w:type="dxa"/>
            </w:tcMar>
            <w:vAlign w:val="center"/>
            <w:hideMark/>
          </w:tcPr>
          <w:p w14:paraId="6443DC74" w14:textId="64BD2D27" w:rsidR="00A050A7" w:rsidRPr="00A050A7" w:rsidRDefault="00A050A7" w:rsidP="00A050A7">
            <w:r w:rsidRPr="00A050A7">
              <w:drawing>
                <wp:inline distT="0" distB="0" distL="0" distR="0" wp14:anchorId="69D4042E" wp14:editId="06CC3FED">
                  <wp:extent cx="323850" cy="336550"/>
                  <wp:effectExtent l="0" t="0" r="0" b="6350"/>
                  <wp:docPr id="368076794" name="Picture 18" descr="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Number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 cy="336550"/>
                          </a:xfrm>
                          <a:prstGeom prst="rect">
                            <a:avLst/>
                          </a:prstGeom>
                          <a:noFill/>
                          <a:ln>
                            <a:noFill/>
                          </a:ln>
                        </pic:spPr>
                      </pic:pic>
                    </a:graphicData>
                  </a:graphic>
                </wp:inline>
              </w:drawing>
            </w:r>
          </w:p>
        </w:tc>
        <w:tc>
          <w:tcPr>
            <w:tcW w:w="0" w:type="auto"/>
            <w:shd w:val="clear" w:color="auto" w:fill="FFFFFF"/>
            <w:vAlign w:val="center"/>
            <w:hideMark/>
          </w:tcPr>
          <w:p w14:paraId="1A6D4D4C" w14:textId="77777777" w:rsidR="00A050A7" w:rsidRPr="00A050A7" w:rsidRDefault="00A050A7" w:rsidP="00A050A7">
            <w:r w:rsidRPr="00A050A7">
              <w:t> </w:t>
            </w:r>
          </w:p>
        </w:tc>
        <w:tc>
          <w:tcPr>
            <w:tcW w:w="0" w:type="auto"/>
            <w:shd w:val="clear" w:color="auto" w:fill="FFFFFF"/>
            <w:vAlign w:val="center"/>
            <w:hideMark/>
          </w:tcPr>
          <w:p w14:paraId="6E3B1973" w14:textId="77777777" w:rsidR="00A050A7" w:rsidRPr="00A050A7" w:rsidRDefault="00A050A7" w:rsidP="00A050A7">
            <w:r w:rsidRPr="00A050A7">
              <w:t>The green data fields in the MLS are important tools to match clients to sustainability features. Nearly half of REALTORS® neglect to fill these in.</w:t>
            </w:r>
          </w:p>
        </w:tc>
        <w:tc>
          <w:tcPr>
            <w:tcW w:w="0" w:type="auto"/>
            <w:shd w:val="clear" w:color="auto" w:fill="FFFFFF"/>
            <w:vAlign w:val="center"/>
            <w:hideMark/>
          </w:tcPr>
          <w:p w14:paraId="6C4C3D7F" w14:textId="77777777" w:rsidR="00A050A7" w:rsidRPr="00A050A7" w:rsidRDefault="00A050A7" w:rsidP="00A050A7">
            <w:r w:rsidRPr="00A050A7">
              <w:t> </w:t>
            </w:r>
          </w:p>
        </w:tc>
      </w:tr>
      <w:tr w:rsidR="00A050A7" w:rsidRPr="00A050A7" w14:paraId="013FAA21" w14:textId="77777777">
        <w:trPr>
          <w:jc w:val="center"/>
        </w:trPr>
        <w:tc>
          <w:tcPr>
            <w:tcW w:w="0" w:type="auto"/>
            <w:shd w:val="clear" w:color="auto" w:fill="FFFFFF"/>
            <w:vAlign w:val="center"/>
            <w:hideMark/>
          </w:tcPr>
          <w:p w14:paraId="084DC553" w14:textId="77777777" w:rsidR="00A050A7" w:rsidRPr="00A050A7" w:rsidRDefault="00A050A7" w:rsidP="00A050A7">
            <w:r w:rsidRPr="00A050A7">
              <w:t> </w:t>
            </w:r>
          </w:p>
        </w:tc>
        <w:tc>
          <w:tcPr>
            <w:tcW w:w="0" w:type="auto"/>
            <w:shd w:val="clear" w:color="auto" w:fill="FFFFFF"/>
            <w:tcMar>
              <w:top w:w="150" w:type="dxa"/>
              <w:left w:w="0" w:type="dxa"/>
              <w:bottom w:w="150" w:type="dxa"/>
              <w:right w:w="0" w:type="dxa"/>
            </w:tcMar>
            <w:vAlign w:val="center"/>
            <w:hideMark/>
          </w:tcPr>
          <w:p w14:paraId="2A97BD8C" w14:textId="224E8313" w:rsidR="00A050A7" w:rsidRPr="00A050A7" w:rsidRDefault="00A050A7" w:rsidP="00A050A7">
            <w:r w:rsidRPr="00A050A7">
              <w:drawing>
                <wp:inline distT="0" distB="0" distL="0" distR="0" wp14:anchorId="05B152FF" wp14:editId="6D6DA48C">
                  <wp:extent cx="323850" cy="323850"/>
                  <wp:effectExtent l="0" t="0" r="0" b="0"/>
                  <wp:docPr id="111007078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0" w:type="auto"/>
            <w:shd w:val="clear" w:color="auto" w:fill="FFFFFF"/>
            <w:vAlign w:val="center"/>
            <w:hideMark/>
          </w:tcPr>
          <w:p w14:paraId="1A4F66C6" w14:textId="77777777" w:rsidR="00A050A7" w:rsidRPr="00A050A7" w:rsidRDefault="00A050A7" w:rsidP="00A050A7">
            <w:r w:rsidRPr="00A050A7">
              <w:t> </w:t>
            </w:r>
          </w:p>
        </w:tc>
        <w:tc>
          <w:tcPr>
            <w:tcW w:w="0" w:type="auto"/>
            <w:shd w:val="clear" w:color="auto" w:fill="FFFFFF"/>
            <w:vAlign w:val="center"/>
            <w:hideMark/>
          </w:tcPr>
          <w:p w14:paraId="73267545" w14:textId="77777777" w:rsidR="00A050A7" w:rsidRPr="00A050A7" w:rsidRDefault="00A050A7" w:rsidP="00A050A7">
            <w:r w:rsidRPr="00A050A7">
              <w:t>Today’s homebuyers think about practical sustainability issues such as water conservation, climate resilience, and energy costs. REALTORS® who respond with concrete, measurable benefits (lower utility bills, decreased insurance premiums from climate resilience efforts) are showing true REALTOR® value. </w:t>
            </w:r>
          </w:p>
        </w:tc>
        <w:tc>
          <w:tcPr>
            <w:tcW w:w="0" w:type="auto"/>
            <w:shd w:val="clear" w:color="auto" w:fill="FFFFFF"/>
            <w:vAlign w:val="center"/>
            <w:hideMark/>
          </w:tcPr>
          <w:p w14:paraId="256DD2E0" w14:textId="77777777" w:rsidR="00A050A7" w:rsidRPr="00A050A7" w:rsidRDefault="00A050A7" w:rsidP="00A050A7">
            <w:r w:rsidRPr="00A050A7">
              <w:t> </w:t>
            </w:r>
          </w:p>
        </w:tc>
      </w:tr>
    </w:tbl>
    <w:p w14:paraId="026E63CC" w14:textId="77777777" w:rsidR="00A050A7" w:rsidRPr="00A050A7" w:rsidRDefault="00A050A7" w:rsidP="00A050A7">
      <w:r w:rsidRPr="00A050A7">
        <w:t> </w:t>
      </w:r>
    </w:p>
    <w:tbl>
      <w:tblPr>
        <w:tblW w:w="9750" w:type="dxa"/>
        <w:jc w:val="center"/>
        <w:shd w:val="clear" w:color="auto" w:fill="FFFFFF"/>
        <w:tblCellMar>
          <w:left w:w="420" w:type="dxa"/>
          <w:right w:w="420" w:type="dxa"/>
        </w:tblCellMar>
        <w:tblLook w:val="04A0" w:firstRow="1" w:lastRow="0" w:firstColumn="1" w:lastColumn="0" w:noHBand="0" w:noVBand="1"/>
      </w:tblPr>
      <w:tblGrid>
        <w:gridCol w:w="10200"/>
      </w:tblGrid>
      <w:tr w:rsidR="00A050A7" w:rsidRPr="00A050A7" w14:paraId="7E4E7ED7" w14:textId="77777777">
        <w:trPr>
          <w:jc w:val="center"/>
        </w:trPr>
        <w:tc>
          <w:tcPr>
            <w:tcW w:w="0" w:type="auto"/>
            <w:shd w:val="clear" w:color="auto" w:fill="FFFFFF"/>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49"/>
              <w:gridCol w:w="9262"/>
              <w:gridCol w:w="49"/>
            </w:tblGrid>
            <w:tr w:rsidR="00A050A7" w:rsidRPr="00A050A7" w14:paraId="3175E4A0" w14:textId="77777777">
              <w:trPr>
                <w:jc w:val="center"/>
              </w:trPr>
              <w:tc>
                <w:tcPr>
                  <w:tcW w:w="0" w:type="auto"/>
                  <w:shd w:val="clear" w:color="auto" w:fill="FFFFFF"/>
                  <w:vAlign w:val="center"/>
                  <w:hideMark/>
                </w:tcPr>
                <w:p w14:paraId="5FF7383D" w14:textId="77777777" w:rsidR="00A050A7" w:rsidRPr="00A050A7" w:rsidRDefault="00A050A7" w:rsidP="00A050A7">
                  <w:r w:rsidRPr="00A050A7">
                    <w:t> </w:t>
                  </w:r>
                </w:p>
              </w:tc>
              <w:tc>
                <w:tcPr>
                  <w:tcW w:w="0" w:type="auto"/>
                  <w:shd w:val="clear" w:color="auto" w:fill="FFFFFF"/>
                  <w:tcMar>
                    <w:top w:w="225" w:type="dxa"/>
                    <w:left w:w="0" w:type="dxa"/>
                    <w:bottom w:w="225" w:type="dxa"/>
                    <w:right w:w="0" w:type="dxa"/>
                  </w:tcMar>
                  <w:vAlign w:val="center"/>
                  <w:hideMark/>
                </w:tcPr>
                <w:p w14:paraId="2A356B2A" w14:textId="77777777" w:rsidR="00A050A7" w:rsidRPr="00A050A7" w:rsidRDefault="00A050A7" w:rsidP="00A050A7">
                  <w:r w:rsidRPr="00A050A7">
                    <w:br/>
                    <w:t>Missed an issue? Visit the Consumer Trends and Insights </w:t>
                  </w:r>
                  <w:hyperlink r:id="rId21" w:tgtFrame="_blank" w:history="1">
                    <w:r w:rsidRPr="00A050A7">
                      <w:rPr>
                        <w:rStyle w:val="Hyperlink"/>
                      </w:rPr>
                      <w:t>archive</w:t>
                    </w:r>
                  </w:hyperlink>
                  <w:r w:rsidRPr="00A050A7">
                    <w:t> on the CCRE website.</w:t>
                  </w:r>
                  <w:r w:rsidRPr="00A050A7">
                    <w:br/>
                  </w:r>
                  <w:r w:rsidRPr="00A050A7">
                    <w:br/>
                  </w:r>
                  <w:r w:rsidRPr="00A050A7">
                    <w:rPr>
                      <w:b/>
                      <w:bCs/>
                    </w:rPr>
                    <w:t>Disclaimer</w:t>
                  </w:r>
                  <w:r w:rsidRPr="00A050A7">
                    <w:t>: Use of the materials contained in </w:t>
                  </w:r>
                  <w:r w:rsidRPr="00A050A7">
                    <w:rPr>
                      <w:i/>
                      <w:iCs/>
                    </w:rPr>
                    <w:t>CCRE Consumer Trends and Insights</w:t>
                  </w:r>
                  <w:r w:rsidRPr="00A050A7">
                    <w:t> must include proper attribution to Kantar, LLC. Attribution is already built into the downloadable tools, and members are asked not to remove or alter these credits when sharing with clients or the public.</w:t>
                  </w:r>
                </w:p>
              </w:tc>
              <w:tc>
                <w:tcPr>
                  <w:tcW w:w="0" w:type="auto"/>
                  <w:shd w:val="clear" w:color="auto" w:fill="FFFFFF"/>
                  <w:vAlign w:val="center"/>
                  <w:hideMark/>
                </w:tcPr>
                <w:p w14:paraId="5E5D042C" w14:textId="77777777" w:rsidR="00A050A7" w:rsidRPr="00A050A7" w:rsidRDefault="00A050A7" w:rsidP="00A050A7">
                  <w:r w:rsidRPr="00A050A7">
                    <w:t> </w:t>
                  </w:r>
                </w:p>
              </w:tc>
            </w:tr>
          </w:tbl>
          <w:p w14:paraId="12D0A365" w14:textId="77777777" w:rsidR="00A050A7" w:rsidRPr="00A050A7" w:rsidRDefault="00A050A7" w:rsidP="00A050A7"/>
          <w:tbl>
            <w:tblPr>
              <w:tblW w:w="8895" w:type="dxa"/>
              <w:jc w:val="center"/>
              <w:shd w:val="clear" w:color="auto" w:fill="FFFFFF"/>
              <w:tblCellMar>
                <w:left w:w="0" w:type="dxa"/>
                <w:right w:w="0" w:type="dxa"/>
              </w:tblCellMar>
              <w:tblLook w:val="04A0" w:firstRow="1" w:lastRow="0" w:firstColumn="1" w:lastColumn="0" w:noHBand="0" w:noVBand="1"/>
            </w:tblPr>
            <w:tblGrid>
              <w:gridCol w:w="9360"/>
            </w:tblGrid>
            <w:tr w:rsidR="00A050A7" w:rsidRPr="00A050A7" w14:paraId="052B8D7B" w14:textId="77777777">
              <w:trPr>
                <w:jc w:val="center"/>
              </w:trPr>
              <w:tc>
                <w:tcPr>
                  <w:tcW w:w="0" w:type="auto"/>
                  <w:shd w:val="clear" w:color="auto" w:fill="FFFFFF"/>
                  <w:tcMar>
                    <w:top w:w="150" w:type="dxa"/>
                    <w:left w:w="0" w:type="dxa"/>
                    <w:bottom w:w="150" w:type="dxa"/>
                    <w:right w:w="0" w:type="dxa"/>
                  </w:tcMar>
                  <w:vAlign w:val="center"/>
                  <w:hideMark/>
                </w:tcPr>
                <w:p w14:paraId="6919284A" w14:textId="4D9D9088" w:rsidR="00A050A7" w:rsidRPr="00A050A7" w:rsidRDefault="00A050A7" w:rsidP="00A050A7">
                  <w:r w:rsidRPr="00A050A7">
                    <w:drawing>
                      <wp:inline distT="0" distB="0" distL="0" distR="0" wp14:anchorId="7EC9C4E5" wp14:editId="3B6C85A1">
                        <wp:extent cx="5943600" cy="389890"/>
                        <wp:effectExtent l="0" t="0" r="0" b="0"/>
                        <wp:docPr id="1537679036" name="Picture 1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389890"/>
                                </a:xfrm>
                                <a:prstGeom prst="rect">
                                  <a:avLst/>
                                </a:prstGeom>
                                <a:noFill/>
                                <a:ln>
                                  <a:noFill/>
                                </a:ln>
                              </pic:spPr>
                            </pic:pic>
                          </a:graphicData>
                        </a:graphic>
                      </wp:inline>
                    </w:drawing>
                  </w:r>
                </w:p>
              </w:tc>
            </w:tr>
          </w:tbl>
          <w:p w14:paraId="72DF5F0E" w14:textId="77777777" w:rsidR="00A050A7" w:rsidRPr="00A050A7" w:rsidRDefault="00A050A7" w:rsidP="00A050A7"/>
        </w:tc>
      </w:tr>
    </w:tbl>
    <w:p w14:paraId="2464E788" w14:textId="77777777" w:rsidR="00A050A7" w:rsidRPr="00A050A7" w:rsidRDefault="00A050A7" w:rsidP="00A050A7"/>
    <w:p w14:paraId="4E1315C3" w14:textId="61BD6F87" w:rsidR="00A050A7" w:rsidRPr="00A050A7" w:rsidRDefault="00A050A7" w:rsidP="00A050A7">
      <w:r w:rsidRPr="00A050A7">
        <w:t>This message was sent to %%email%%. Visit your </w:t>
      </w:r>
      <w:hyperlink r:id="rId24" w:history="1">
        <w:r w:rsidRPr="00A050A7">
          <w:rPr>
            <w:rStyle w:val="Hyperlink"/>
          </w:rPr>
          <w:t>subscription management page</w:t>
        </w:r>
      </w:hyperlink>
      <w:r w:rsidRPr="00A050A7">
        <w:t> to unsubscribe or modify your email communication preferences. To update the email address to which this newsletter is sent, please contact your local association.</w:t>
      </w:r>
      <w:r w:rsidRPr="00A050A7">
        <w:br/>
      </w:r>
      <w:r w:rsidRPr="00A050A7">
        <w:br/>
        <w:t>Advertising Inquiries: learn how you can </w:t>
      </w:r>
      <w:hyperlink r:id="rId25" w:tgtFrame="_blank" w:history="1">
        <w:r w:rsidRPr="00A050A7">
          <w:rPr>
            <w:rStyle w:val="Hyperlink"/>
          </w:rPr>
          <w:t>advertise in this email newsletter</w:t>
        </w:r>
      </w:hyperlink>
      <w:r w:rsidRPr="00A050A7">
        <w:t>.</w:t>
      </w:r>
      <w:r w:rsidRPr="00A050A7">
        <w:br/>
      </w:r>
      <w:r w:rsidRPr="00A050A7">
        <w:br/>
        <w:t>CALIFORNIA ASSOCIATION OF REALTORS® • 915 L Street, #1460, Sacramento, CA 95814</w:t>
      </w:r>
      <w:r w:rsidRPr="00A050A7">
        <w:br/>
        <w:t>Copyright ©</w:t>
      </w:r>
      <w:r>
        <w:t xml:space="preserve"> 2025</w:t>
      </w:r>
      <w:r w:rsidRPr="00A050A7">
        <w:t xml:space="preserve"> All rights reserved.</w:t>
      </w:r>
    </w:p>
    <w:p w14:paraId="64D0E8BD" w14:textId="77777777" w:rsidR="00A050A7" w:rsidRDefault="00A050A7"/>
    <w:sectPr w:rsidR="00A05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A7"/>
    <w:rsid w:val="00451F5C"/>
    <w:rsid w:val="00A0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636290"/>
  <w15:chartTrackingRefBased/>
  <w15:docId w15:val="{3DD10190-8D9C-45B5-A56E-B3CC19C3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0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0A7"/>
    <w:rPr>
      <w:rFonts w:eastAsiaTheme="majorEastAsia" w:cstheme="majorBidi"/>
      <w:color w:val="272727" w:themeColor="text1" w:themeTint="D8"/>
    </w:rPr>
  </w:style>
  <w:style w:type="paragraph" w:styleId="Title">
    <w:name w:val="Title"/>
    <w:basedOn w:val="Normal"/>
    <w:next w:val="Normal"/>
    <w:link w:val="TitleChar"/>
    <w:uiPriority w:val="10"/>
    <w:qFormat/>
    <w:rsid w:val="00A05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0A7"/>
    <w:pPr>
      <w:spacing w:before="160"/>
      <w:jc w:val="center"/>
    </w:pPr>
    <w:rPr>
      <w:i/>
      <w:iCs/>
      <w:color w:val="404040" w:themeColor="text1" w:themeTint="BF"/>
    </w:rPr>
  </w:style>
  <w:style w:type="character" w:customStyle="1" w:styleId="QuoteChar">
    <w:name w:val="Quote Char"/>
    <w:basedOn w:val="DefaultParagraphFont"/>
    <w:link w:val="Quote"/>
    <w:uiPriority w:val="29"/>
    <w:rsid w:val="00A050A7"/>
    <w:rPr>
      <w:i/>
      <w:iCs/>
      <w:color w:val="404040" w:themeColor="text1" w:themeTint="BF"/>
    </w:rPr>
  </w:style>
  <w:style w:type="paragraph" w:styleId="ListParagraph">
    <w:name w:val="List Paragraph"/>
    <w:basedOn w:val="Normal"/>
    <w:uiPriority w:val="34"/>
    <w:qFormat/>
    <w:rsid w:val="00A050A7"/>
    <w:pPr>
      <w:ind w:left="720"/>
      <w:contextualSpacing/>
    </w:pPr>
  </w:style>
  <w:style w:type="character" w:styleId="IntenseEmphasis">
    <w:name w:val="Intense Emphasis"/>
    <w:basedOn w:val="DefaultParagraphFont"/>
    <w:uiPriority w:val="21"/>
    <w:qFormat/>
    <w:rsid w:val="00A050A7"/>
    <w:rPr>
      <w:i/>
      <w:iCs/>
      <w:color w:val="0F4761" w:themeColor="accent1" w:themeShade="BF"/>
    </w:rPr>
  </w:style>
  <w:style w:type="paragraph" w:styleId="IntenseQuote">
    <w:name w:val="Intense Quote"/>
    <w:basedOn w:val="Normal"/>
    <w:next w:val="Normal"/>
    <w:link w:val="IntenseQuoteChar"/>
    <w:uiPriority w:val="30"/>
    <w:qFormat/>
    <w:rsid w:val="00A05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0A7"/>
    <w:rPr>
      <w:i/>
      <w:iCs/>
      <w:color w:val="0F4761" w:themeColor="accent1" w:themeShade="BF"/>
    </w:rPr>
  </w:style>
  <w:style w:type="character" w:styleId="IntenseReference">
    <w:name w:val="Intense Reference"/>
    <w:basedOn w:val="DefaultParagraphFont"/>
    <w:uiPriority w:val="32"/>
    <w:qFormat/>
    <w:rsid w:val="00A050A7"/>
    <w:rPr>
      <w:b/>
      <w:bCs/>
      <w:smallCaps/>
      <w:color w:val="0F4761" w:themeColor="accent1" w:themeShade="BF"/>
      <w:spacing w:val="5"/>
    </w:rPr>
  </w:style>
  <w:style w:type="character" w:styleId="Hyperlink">
    <w:name w:val="Hyperlink"/>
    <w:basedOn w:val="DefaultParagraphFont"/>
    <w:uiPriority w:val="99"/>
    <w:unhideWhenUsed/>
    <w:rsid w:val="00A050A7"/>
    <w:rPr>
      <w:color w:val="467886" w:themeColor="hyperlink"/>
      <w:u w:val="single"/>
    </w:rPr>
  </w:style>
  <w:style w:type="character" w:styleId="UnresolvedMention">
    <w:name w:val="Unresolved Mention"/>
    <w:basedOn w:val="DefaultParagraphFont"/>
    <w:uiPriority w:val="99"/>
    <w:semiHidden/>
    <w:unhideWhenUsed/>
    <w:rsid w:val="00A05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ccre.us/consumer-trends-insights" TargetMode="External"/><Relationship Id="rId7" Type="http://schemas.openxmlformats.org/officeDocument/2006/relationships/hyperlink" Target="https://docs.google.com/presentation/d/1AyOu9d4Xw-A2xWH1wwkMlYMe0giPQFxF10Jrz5mc3X8/edit?slide=id.g3aa43f69a6b_2_75" TargetMode="External"/><Relationship Id="rId12" Type="http://schemas.openxmlformats.org/officeDocument/2006/relationships/hyperlink" Target="https://www.car.org/-/media/CAR/Documents/Consumer-Trends-and-Insights/Sustainability/CTI_SustainabilityInfog_FINAL.pdf" TargetMode="External"/><Relationship Id="rId17" Type="http://schemas.openxmlformats.org/officeDocument/2006/relationships/image" Target="media/image8.png"/><Relationship Id="rId25" Type="http://schemas.openxmlformats.org/officeDocument/2006/relationships/hyperlink" Target="https://www.car.org/aboutus/mediakitadrates" TargetMode="Externa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ar.org/-/media/CAR/Documents/Consumer-Trends-and-Insights/Sustainability/CTI_SustainabilityInfog_FINAL.pdf" TargetMode="External"/><Relationship Id="rId24" Type="http://schemas.openxmlformats.org/officeDocument/2006/relationships/hyperlink" Target="https://preview.pardot.com/email/showHtmlMessage/id/%25%25email_preference_center_666%25%25" TargetMode="External"/><Relationship Id="rId5" Type="http://schemas.openxmlformats.org/officeDocument/2006/relationships/hyperlink" Target="https://docs.google.com/presentation/d/1AyOu9d4Xw-A2xWH1wwkMlYMe0giPQFxF10Jrz5mc3X8/edit?slide=id.g3aa43f69a6b_2_75#slide=id.g3aa43f69a6b_2_75" TargetMode="External"/><Relationship Id="rId15" Type="http://schemas.openxmlformats.org/officeDocument/2006/relationships/image" Target="media/image6.png"/><Relationship Id="rId23" Type="http://schemas.openxmlformats.org/officeDocument/2006/relationships/image" Target="media/image12.jpeg"/><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image" Target="media/image1.jpeg"/><Relationship Id="rId9" Type="http://schemas.openxmlformats.org/officeDocument/2006/relationships/hyperlink" Target="https://car.org/knowledge/pubs/trendsandinsights/sustainability/socialmedia" TargetMode="External"/><Relationship Id="rId14" Type="http://schemas.openxmlformats.org/officeDocument/2006/relationships/hyperlink" Target="https://bcove.video/44yxnB0" TargetMode="External"/><Relationship Id="rId22" Type="http://schemas.openxmlformats.org/officeDocument/2006/relationships/hyperlink" Target="https://www.ccre.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703</Words>
  <Characters>3463</Characters>
  <Application>Microsoft Office Word</Application>
  <DocSecurity>0</DocSecurity>
  <Lines>65</Lines>
  <Paragraphs>31</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Winters</dc:creator>
  <cp:keywords/>
  <dc:description/>
  <cp:lastModifiedBy>Claire Winters</cp:lastModifiedBy>
  <cp:revision>1</cp:revision>
  <dcterms:created xsi:type="dcterms:W3CDTF">2025-12-02T00:53:00Z</dcterms:created>
  <dcterms:modified xsi:type="dcterms:W3CDTF">2025-12-02T00:55:00Z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cddc71a8-895a-45cb-886a-8c5c018d6c1c</vt:lpwstr>
  </property>
</Properties>
</file>